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6A631865" w:rsidR="00DF018A" w:rsidRPr="00A7551B" w:rsidRDefault="00DF018A" w:rsidP="00DF018A">
      <w:pPr>
        <w:pStyle w:val="a"/>
        <w:rPr>
          <w:rFonts w:eastAsia="SimSun"/>
          <w:lang w:val="en-US" w:eastAsia="zh-CN"/>
        </w:rPr>
      </w:pPr>
      <w:bookmarkStart w:id="0" w:name="OLE_LINK1"/>
      <w:bookmarkStart w:id="1" w:name="OLE_LINK2"/>
      <w:r w:rsidRPr="00A7551B">
        <w:rPr>
          <w:lang w:val="en-US"/>
        </w:rPr>
        <w:t>3GPP TSG-RAN WG4 Meeting #</w:t>
      </w:r>
      <w:r w:rsidRPr="00A7551B">
        <w:rPr>
          <w:rFonts w:eastAsia="SimSun"/>
          <w:lang w:val="en-US" w:eastAsia="zh-CN"/>
        </w:rPr>
        <w:t>9</w:t>
      </w:r>
      <w:r w:rsidR="003B17A5" w:rsidRPr="00A7551B">
        <w:rPr>
          <w:rFonts w:eastAsia="SimSun"/>
          <w:lang w:val="en-US" w:eastAsia="zh-CN"/>
        </w:rPr>
        <w:t>1</w:t>
      </w:r>
      <w:r w:rsidR="003B17A5" w:rsidRPr="00A7551B">
        <w:rPr>
          <w:rFonts w:eastAsia="SimSun"/>
          <w:lang w:val="en-US" w:eastAsia="zh-CN"/>
        </w:rPr>
        <w:tab/>
      </w:r>
      <w:r w:rsidRPr="00A7551B">
        <w:rPr>
          <w:lang w:val="en-US"/>
        </w:rPr>
        <w:tab/>
      </w:r>
      <w:r w:rsidRPr="00A7551B">
        <w:rPr>
          <w:lang w:val="en-US"/>
        </w:rPr>
        <w:tab/>
      </w:r>
      <w:r w:rsidRPr="00A7551B">
        <w:rPr>
          <w:lang w:val="en-US"/>
        </w:rPr>
        <w:tab/>
      </w:r>
      <w:r w:rsidRPr="00A7551B">
        <w:rPr>
          <w:lang w:val="en-US"/>
        </w:rPr>
        <w:tab/>
      </w:r>
      <w:r w:rsidRPr="00A7551B">
        <w:rPr>
          <w:lang w:val="en-US"/>
        </w:rPr>
        <w:tab/>
      </w:r>
      <w:r w:rsidRPr="00A7551B">
        <w:rPr>
          <w:lang w:val="en-US"/>
        </w:rPr>
        <w:tab/>
      </w:r>
      <w:r w:rsidRPr="00A7551B">
        <w:rPr>
          <w:lang w:val="en-US"/>
        </w:rPr>
        <w:tab/>
      </w:r>
      <w:r w:rsidRPr="00A7551B">
        <w:rPr>
          <w:lang w:val="en-US"/>
        </w:rPr>
        <w:tab/>
      </w:r>
      <w:r w:rsidRPr="00A7551B">
        <w:rPr>
          <w:lang w:val="en-US"/>
        </w:rPr>
        <w:tab/>
      </w:r>
      <w:r w:rsidRPr="00A7551B">
        <w:rPr>
          <w:lang w:val="en-US"/>
        </w:rPr>
        <w:tab/>
      </w:r>
      <w:r w:rsidRPr="00A7551B">
        <w:rPr>
          <w:lang w:val="en-US"/>
        </w:rPr>
        <w:tab/>
      </w:r>
      <w:r w:rsidRPr="00A7551B">
        <w:rPr>
          <w:rFonts w:eastAsia="SimSun"/>
          <w:lang w:val="en-US" w:eastAsia="zh-CN"/>
        </w:rPr>
        <w:t xml:space="preserve">  </w:t>
      </w:r>
      <w:r w:rsidRPr="00A7551B">
        <w:rPr>
          <w:lang w:val="en-US"/>
        </w:rPr>
        <w:tab/>
        <w:t xml:space="preserve">     </w:t>
      </w:r>
      <w:r w:rsidR="00E10ADF">
        <w:rPr>
          <w:lang w:val="en-US"/>
        </w:rPr>
        <w:tab/>
      </w:r>
      <w:r w:rsidR="00E10ADF">
        <w:rPr>
          <w:lang w:val="en-US"/>
        </w:rPr>
        <w:tab/>
      </w:r>
      <w:bookmarkStart w:id="2" w:name="_GoBack"/>
      <w:bookmarkEnd w:id="2"/>
      <w:r w:rsidRPr="00A7551B">
        <w:rPr>
          <w:lang w:val="en-US"/>
        </w:rPr>
        <w:t xml:space="preserve">   </w:t>
      </w:r>
      <w:r w:rsidRPr="00A7551B">
        <w:rPr>
          <w:rFonts w:eastAsia="SimSun"/>
          <w:lang w:val="en-US" w:eastAsia="zh-CN"/>
        </w:rPr>
        <w:t xml:space="preserve"> </w:t>
      </w:r>
      <w:r w:rsidRPr="00A7551B">
        <w:rPr>
          <w:lang w:val="en-US"/>
        </w:rPr>
        <w:t>R4-19</w:t>
      </w:r>
      <w:r w:rsidR="000C07E1" w:rsidRPr="008674EE">
        <w:rPr>
          <w:lang w:val="en-US"/>
        </w:rPr>
        <w:t>0</w:t>
      </w:r>
      <w:r w:rsidR="008674EE" w:rsidRPr="008674EE">
        <w:rPr>
          <w:lang w:val="en-US"/>
        </w:rPr>
        <w:t>6881</w:t>
      </w:r>
    </w:p>
    <w:p w14:paraId="35BF833C" w14:textId="010C3820" w:rsidR="00DF018A" w:rsidRPr="00A7551B" w:rsidRDefault="003B17A5" w:rsidP="00DF018A">
      <w:pPr>
        <w:pStyle w:val="a"/>
        <w:rPr>
          <w:rFonts w:eastAsia="SimSun"/>
          <w:lang w:val="en-US" w:eastAsia="zh-CN"/>
        </w:rPr>
      </w:pPr>
      <w:r w:rsidRPr="00A7551B">
        <w:rPr>
          <w:rFonts w:cs="Arial"/>
          <w:lang w:val="en-US"/>
        </w:rPr>
        <w:t>Reno, Nevada</w:t>
      </w:r>
      <w:r w:rsidR="00DF018A" w:rsidRPr="00A7551B">
        <w:rPr>
          <w:lang w:val="en-US"/>
        </w:rPr>
        <w:t xml:space="preserve">, </w:t>
      </w:r>
      <w:r w:rsidRPr="00A7551B">
        <w:rPr>
          <w:rFonts w:eastAsia="SimSun"/>
          <w:lang w:val="en-US" w:eastAsia="zh-CN"/>
        </w:rPr>
        <w:t>USA</w:t>
      </w:r>
      <w:r w:rsidR="00DF018A" w:rsidRPr="00A7551B">
        <w:rPr>
          <w:lang w:val="en-US"/>
        </w:rPr>
        <w:t xml:space="preserve">, </w:t>
      </w:r>
      <w:r w:rsidRPr="00A7551B">
        <w:rPr>
          <w:rFonts w:cs="Arial"/>
          <w:lang w:val="en-US"/>
        </w:rPr>
        <w:t>13</w:t>
      </w:r>
      <w:r w:rsidR="00DF018A" w:rsidRPr="00A7551B">
        <w:rPr>
          <w:rFonts w:cs="Arial"/>
          <w:lang w:val="en-US"/>
        </w:rPr>
        <w:t xml:space="preserve"> – </w:t>
      </w:r>
      <w:r w:rsidRPr="00A7551B">
        <w:rPr>
          <w:rFonts w:cs="Arial"/>
          <w:lang w:val="en-US"/>
        </w:rPr>
        <w:t>17</w:t>
      </w:r>
      <w:r w:rsidR="00DF018A" w:rsidRPr="00A7551B">
        <w:rPr>
          <w:rFonts w:cs="Arial"/>
          <w:lang w:val="en-US"/>
        </w:rPr>
        <w:t xml:space="preserve"> </w:t>
      </w:r>
      <w:r w:rsidRPr="00A7551B">
        <w:rPr>
          <w:rFonts w:cs="Arial"/>
          <w:lang w:val="en-US"/>
        </w:rPr>
        <w:t>May</w:t>
      </w:r>
      <w:r w:rsidR="00DF018A" w:rsidRPr="00A7551B">
        <w:rPr>
          <w:lang w:val="en-US"/>
        </w:rPr>
        <w:t>, 2019</w:t>
      </w:r>
    </w:p>
    <w:bookmarkEnd w:id="0"/>
    <w:bookmarkEnd w:id="1"/>
    <w:p w14:paraId="0F1A7801" w14:textId="77777777" w:rsidR="0043450E" w:rsidRPr="00A7551B" w:rsidRDefault="0043450E" w:rsidP="0043450E">
      <w:pPr>
        <w:overflowPunct/>
        <w:autoSpaceDE/>
        <w:autoSpaceDN/>
        <w:adjustRightInd/>
        <w:textAlignment w:val="auto"/>
        <w:rPr>
          <w:rFonts w:ascii="Arial" w:hAnsi="Arial"/>
          <w:b/>
          <w:noProof/>
          <w:sz w:val="24"/>
          <w:lang w:val="en-US"/>
        </w:rPr>
      </w:pPr>
    </w:p>
    <w:p w14:paraId="057A84BA" w14:textId="691F39B6" w:rsidR="0043450E" w:rsidRPr="00A7551B" w:rsidRDefault="0043450E" w:rsidP="0043450E">
      <w:pPr>
        <w:tabs>
          <w:tab w:val="left" w:pos="1985"/>
        </w:tabs>
        <w:jc w:val="both"/>
        <w:rPr>
          <w:b/>
          <w:sz w:val="22"/>
          <w:lang w:val="en-US"/>
        </w:rPr>
      </w:pPr>
      <w:r w:rsidRPr="00A7551B">
        <w:rPr>
          <w:b/>
          <w:sz w:val="22"/>
          <w:lang w:val="en-US"/>
        </w:rPr>
        <w:t xml:space="preserve">Source: </w:t>
      </w:r>
      <w:r w:rsidRPr="00A7551B">
        <w:rPr>
          <w:b/>
          <w:sz w:val="22"/>
          <w:lang w:val="en-US"/>
        </w:rPr>
        <w:tab/>
      </w:r>
      <w:r w:rsidRPr="00A7551B">
        <w:rPr>
          <w:sz w:val="22"/>
          <w:lang w:val="en-US"/>
        </w:rPr>
        <w:t>Nok</w:t>
      </w:r>
      <w:r w:rsidR="00BC764C" w:rsidRPr="00A7551B">
        <w:rPr>
          <w:sz w:val="22"/>
          <w:lang w:val="en-US"/>
        </w:rPr>
        <w:t>ia</w:t>
      </w:r>
      <w:r w:rsidR="0089736D" w:rsidRPr="00A7551B">
        <w:rPr>
          <w:sz w:val="22"/>
          <w:lang w:val="en-US"/>
        </w:rPr>
        <w:t>, Nokia Shanghai Bell</w:t>
      </w:r>
    </w:p>
    <w:p w14:paraId="48427630" w14:textId="02938FEB" w:rsidR="0043450E" w:rsidRPr="00384AB3" w:rsidRDefault="0043450E" w:rsidP="0043450E">
      <w:pPr>
        <w:rPr>
          <w:color w:val="000000"/>
          <w:lang w:val="en-US"/>
        </w:rPr>
      </w:pPr>
      <w:r w:rsidRPr="00A7551B">
        <w:rPr>
          <w:b/>
          <w:sz w:val="22"/>
          <w:lang w:val="en-US"/>
        </w:rPr>
        <w:t>Title:</w:t>
      </w:r>
      <w:r w:rsidRPr="00A7551B">
        <w:rPr>
          <w:sz w:val="22"/>
          <w:lang w:val="en-US"/>
        </w:rPr>
        <w:t xml:space="preserve"> </w:t>
      </w:r>
      <w:r w:rsidRPr="00A7551B">
        <w:rPr>
          <w:sz w:val="22"/>
          <w:lang w:val="en-US"/>
        </w:rPr>
        <w:tab/>
      </w:r>
      <w:r w:rsidRPr="00A7551B">
        <w:rPr>
          <w:sz w:val="22"/>
          <w:lang w:val="en-US"/>
        </w:rPr>
        <w:tab/>
      </w:r>
      <w:r w:rsidRPr="00A7551B">
        <w:rPr>
          <w:sz w:val="22"/>
          <w:lang w:val="en-US"/>
        </w:rPr>
        <w:tab/>
      </w:r>
      <w:r w:rsidRPr="00A7551B">
        <w:rPr>
          <w:sz w:val="22"/>
          <w:lang w:val="en-US"/>
        </w:rPr>
        <w:tab/>
      </w:r>
      <w:r w:rsidRPr="00A7551B">
        <w:rPr>
          <w:sz w:val="22"/>
          <w:lang w:val="en-US"/>
        </w:rPr>
        <w:tab/>
      </w:r>
      <w:r w:rsidR="00870507" w:rsidRPr="00A7551B">
        <w:rPr>
          <w:sz w:val="22"/>
          <w:lang w:val="en-US"/>
        </w:rPr>
        <w:t>IAB scenarios and simulation assumptions</w:t>
      </w:r>
    </w:p>
    <w:p w14:paraId="38BCE621" w14:textId="62028DE2" w:rsidR="00C24D31" w:rsidRPr="00A7551B" w:rsidRDefault="00C24D31" w:rsidP="0043450E">
      <w:pPr>
        <w:rPr>
          <w:sz w:val="22"/>
          <w:lang w:val="en-US"/>
        </w:rPr>
      </w:pPr>
      <w:r w:rsidRPr="00384AB3">
        <w:rPr>
          <w:b/>
          <w:color w:val="000000"/>
          <w:lang w:val="en-US"/>
        </w:rPr>
        <w:t>Agenda item:</w:t>
      </w:r>
      <w:r w:rsidR="00E46CA7" w:rsidRPr="00384AB3">
        <w:rPr>
          <w:b/>
          <w:color w:val="000000"/>
          <w:lang w:val="en-US"/>
        </w:rPr>
        <w:tab/>
      </w:r>
      <w:r w:rsidR="00E46CA7" w:rsidRPr="00384AB3">
        <w:rPr>
          <w:b/>
          <w:color w:val="000000"/>
          <w:lang w:val="en-US"/>
        </w:rPr>
        <w:tab/>
      </w:r>
      <w:r w:rsidR="00E46CA7" w:rsidRPr="00384AB3">
        <w:rPr>
          <w:b/>
          <w:color w:val="000000"/>
          <w:lang w:val="en-US"/>
        </w:rPr>
        <w:tab/>
      </w:r>
      <w:r w:rsidR="00C3538C" w:rsidRPr="00BB1D4A">
        <w:rPr>
          <w:sz w:val="22"/>
          <w:lang w:val="en-US"/>
        </w:rPr>
        <w:t>8.5.2</w:t>
      </w:r>
    </w:p>
    <w:p w14:paraId="41D55FE6" w14:textId="56E33765" w:rsidR="00C24D31" w:rsidRPr="00A7551B" w:rsidRDefault="00C24D31" w:rsidP="0043450E">
      <w:pPr>
        <w:rPr>
          <w:sz w:val="22"/>
          <w:lang w:val="en-US"/>
        </w:rPr>
      </w:pPr>
      <w:r w:rsidRPr="00A7551B">
        <w:rPr>
          <w:b/>
          <w:sz w:val="22"/>
          <w:lang w:val="en-US"/>
        </w:rPr>
        <w:t>Document for:</w:t>
      </w:r>
      <w:r w:rsidR="00E46CA7" w:rsidRPr="00A7551B">
        <w:rPr>
          <w:b/>
          <w:sz w:val="22"/>
          <w:lang w:val="en-US"/>
        </w:rPr>
        <w:tab/>
      </w:r>
      <w:r w:rsidR="00E46CA7" w:rsidRPr="00A7551B">
        <w:rPr>
          <w:sz w:val="22"/>
          <w:lang w:val="en-US"/>
        </w:rPr>
        <w:tab/>
      </w:r>
      <w:r w:rsidR="00E46CA7" w:rsidRPr="00A7551B">
        <w:rPr>
          <w:sz w:val="22"/>
          <w:lang w:val="en-US"/>
        </w:rPr>
        <w:tab/>
      </w:r>
      <w:r w:rsidR="000D5C67" w:rsidRPr="00A7551B">
        <w:rPr>
          <w:sz w:val="22"/>
          <w:lang w:val="en-US"/>
        </w:rPr>
        <w:t>Approval</w:t>
      </w:r>
    </w:p>
    <w:p w14:paraId="31CCC137" w14:textId="77777777" w:rsidR="0043450E" w:rsidRPr="00A7551B" w:rsidRDefault="0043450E" w:rsidP="0043450E">
      <w:pPr>
        <w:pStyle w:val="Heading1"/>
        <w:rPr>
          <w:lang w:val="en-US"/>
        </w:rPr>
      </w:pPr>
      <w:r w:rsidRPr="00A7551B">
        <w:rPr>
          <w:lang w:val="en-US"/>
        </w:rPr>
        <w:t>1</w:t>
      </w:r>
      <w:r w:rsidRPr="00A7551B">
        <w:rPr>
          <w:lang w:val="en-US"/>
        </w:rPr>
        <w:tab/>
        <w:t>Introduction</w:t>
      </w:r>
    </w:p>
    <w:p w14:paraId="781A2A01" w14:textId="0A00CBD5" w:rsidR="00CF249F" w:rsidRPr="00A7551B" w:rsidRDefault="00937974" w:rsidP="000B5E8E">
      <w:pPr>
        <w:rPr>
          <w:lang w:val="en-US"/>
        </w:rPr>
      </w:pPr>
      <w:r w:rsidRPr="00A7551B">
        <w:rPr>
          <w:lang w:val="en-US"/>
        </w:rPr>
        <w:t>RAN#82 has approved a new work item description for Integrated Access and Backhaul for NR [1] which was further updated in RAN#83 [2]. Part of the work item objectives is to define specifications for RF and RRM requirements.</w:t>
      </w:r>
      <w:r w:rsidR="000D5C67" w:rsidRPr="00A7551B">
        <w:rPr>
          <w:lang w:val="en-US"/>
        </w:rPr>
        <w:t xml:space="preserve"> In this contribution we discuss </w:t>
      </w:r>
      <w:r w:rsidR="00870507" w:rsidRPr="00A7551B">
        <w:rPr>
          <w:lang w:val="en-US"/>
        </w:rPr>
        <w:t>the scenarios to be used as the basis for defining the requirements and simulation assumptions to be used in the RF co-existence study targeting at determining required IAB-MT ACLR and ACS</w:t>
      </w:r>
      <w:r w:rsidRPr="00A7551B">
        <w:rPr>
          <w:lang w:val="en-US"/>
        </w:rPr>
        <w:t>.</w:t>
      </w:r>
    </w:p>
    <w:p w14:paraId="1ECA57B6" w14:textId="77777777" w:rsidR="001C3296" w:rsidRPr="00A7551B" w:rsidRDefault="001C3296" w:rsidP="001C3296">
      <w:pPr>
        <w:pStyle w:val="Heading1"/>
        <w:rPr>
          <w:lang w:val="en-US"/>
        </w:rPr>
      </w:pPr>
      <w:r w:rsidRPr="00A7551B">
        <w:rPr>
          <w:lang w:val="en-US"/>
        </w:rPr>
        <w:t>2</w:t>
      </w:r>
      <w:r w:rsidRPr="00A7551B">
        <w:rPr>
          <w:lang w:val="en-US"/>
        </w:rPr>
        <w:tab/>
        <w:t>Discussion</w:t>
      </w:r>
    </w:p>
    <w:p w14:paraId="197EB57D" w14:textId="5034F5E7" w:rsidR="006C1221" w:rsidRPr="00A7551B" w:rsidRDefault="006C1221" w:rsidP="006C1221">
      <w:pPr>
        <w:pStyle w:val="Heading3"/>
        <w:rPr>
          <w:lang w:val="en-US"/>
        </w:rPr>
      </w:pPr>
      <w:r w:rsidRPr="00A7551B">
        <w:rPr>
          <w:lang w:val="en-US"/>
        </w:rPr>
        <w:t>2.</w:t>
      </w:r>
      <w:r w:rsidR="00A94141" w:rsidRPr="00A7551B">
        <w:rPr>
          <w:lang w:val="en-US"/>
        </w:rPr>
        <w:t>1</w:t>
      </w:r>
      <w:r w:rsidRPr="00A7551B">
        <w:rPr>
          <w:lang w:val="en-US"/>
        </w:rPr>
        <w:t xml:space="preserve"> IAB scenarios – network deployment</w:t>
      </w:r>
    </w:p>
    <w:p w14:paraId="7E262858" w14:textId="18DA5F00" w:rsidR="00815457" w:rsidRPr="00A7551B" w:rsidRDefault="006C1221" w:rsidP="006C1221">
      <w:pPr>
        <w:rPr>
          <w:lang w:val="en-US"/>
        </w:rPr>
      </w:pPr>
      <w:r w:rsidRPr="00A7551B">
        <w:rPr>
          <w:lang w:val="en-US"/>
        </w:rPr>
        <w:t xml:space="preserve">3GPP TR 38.803 contains the description of simulation scenarios and assumptions used </w:t>
      </w:r>
      <w:r w:rsidR="00E80824" w:rsidRPr="00A7551B">
        <w:rPr>
          <w:lang w:val="en-US"/>
        </w:rPr>
        <w:t xml:space="preserve">NR RF coexistence study [4]. As IAB-nodes are intended to co-exist with the legacy NR network, it seems logical to re-use those scenarios. </w:t>
      </w:r>
      <w:r w:rsidR="00815457" w:rsidRPr="00A7551B">
        <w:rPr>
          <w:lang w:val="en-US"/>
        </w:rPr>
        <w:t xml:space="preserve">In NR RF coexistence study 3 different scenarios were looked at: Urban macro, dense urban and indoor. </w:t>
      </w:r>
      <w:r w:rsidR="00903DE7">
        <w:rPr>
          <w:lang w:val="en-US"/>
        </w:rPr>
        <w:t xml:space="preserve">  In addition, 3GPP TR 38.874 describes IAB specific simulation scenarios that with modification may also be suitable for co-existence studies [5].</w:t>
      </w:r>
      <w:r w:rsidR="008B78CD">
        <w:rPr>
          <w:lang w:val="en-US"/>
        </w:rPr>
        <w:t xml:space="preserve">    The homogenous </w:t>
      </w:r>
      <w:r w:rsidR="00451E75">
        <w:rPr>
          <w:lang w:val="en-US"/>
        </w:rPr>
        <w:t xml:space="preserve">IAB </w:t>
      </w:r>
      <w:r w:rsidR="008B78CD">
        <w:rPr>
          <w:lang w:val="en-US"/>
        </w:rPr>
        <w:t xml:space="preserve">scenario </w:t>
      </w:r>
      <w:proofErr w:type="gramStart"/>
      <w:r w:rsidR="00451E75">
        <w:rPr>
          <w:lang w:val="en-US"/>
        </w:rPr>
        <w:t>similar to</w:t>
      </w:r>
      <w:proofErr w:type="gramEnd"/>
      <w:r w:rsidR="00451E75">
        <w:rPr>
          <w:lang w:val="en-US"/>
        </w:rPr>
        <w:t xml:space="preserve"> those captured in TR 38.874 and </w:t>
      </w:r>
      <w:r w:rsidR="008B78CD">
        <w:rPr>
          <w:lang w:val="en-US"/>
        </w:rPr>
        <w:t>suitable for RAN</w:t>
      </w:r>
      <w:r w:rsidR="00451E75">
        <w:rPr>
          <w:lang w:val="en-US"/>
        </w:rPr>
        <w:t>4 evaluation</w:t>
      </w:r>
      <w:r w:rsidR="008B78CD">
        <w:rPr>
          <w:lang w:val="en-US"/>
        </w:rPr>
        <w:t xml:space="preserve"> was proposed in [6]</w:t>
      </w:r>
    </w:p>
    <w:p w14:paraId="0AC52A21" w14:textId="2956DA2C" w:rsidR="006C1221" w:rsidRDefault="00BC53DF" w:rsidP="00526D53">
      <w:pPr>
        <w:rPr>
          <w:lang w:val="en-US"/>
        </w:rPr>
      </w:pPr>
      <w:r w:rsidRPr="00A7551B">
        <w:rPr>
          <w:lang w:val="en-US"/>
        </w:rPr>
        <w:t xml:space="preserve">In our view dense urban scenario </w:t>
      </w:r>
      <w:r w:rsidR="00327382">
        <w:rPr>
          <w:lang w:val="en-US"/>
        </w:rPr>
        <w:t xml:space="preserve">or micro deployment </w:t>
      </w:r>
      <w:r w:rsidRPr="00A7551B">
        <w:rPr>
          <w:lang w:val="en-US"/>
        </w:rPr>
        <w:t xml:space="preserve">is the most suitable in </w:t>
      </w:r>
      <w:r w:rsidR="00327382" w:rsidRPr="00A7551B">
        <w:rPr>
          <w:lang w:val="en-US"/>
        </w:rPr>
        <w:t>analyzing</w:t>
      </w:r>
      <w:r w:rsidR="00AD3165" w:rsidRPr="00A7551B">
        <w:rPr>
          <w:lang w:val="en-US"/>
        </w:rPr>
        <w:t xml:space="preserve"> c</w:t>
      </w:r>
      <w:r w:rsidR="00511C6C" w:rsidRPr="00A7551B">
        <w:rPr>
          <w:lang w:val="en-US"/>
        </w:rPr>
        <w:t>oexistence</w:t>
      </w:r>
      <w:r w:rsidR="00AD3165" w:rsidRPr="00A7551B">
        <w:rPr>
          <w:lang w:val="en-US"/>
        </w:rPr>
        <w:t xml:space="preserve"> between IAB-MTs and NR network</w:t>
      </w:r>
      <w:r w:rsidR="00511C6C" w:rsidRPr="00A7551B">
        <w:rPr>
          <w:lang w:val="en-US"/>
        </w:rPr>
        <w:t xml:space="preserve">. It lacks the coordination and long ISD of Urban macro and therefore includes cases where nodes of different operators can be close to each other, therefore realizing the interference potential of IAB.  </w:t>
      </w:r>
    </w:p>
    <w:p w14:paraId="2E73F279" w14:textId="170A02DA" w:rsidR="008B78CD" w:rsidRPr="00B83866" w:rsidRDefault="008B78CD" w:rsidP="00526D53">
      <w:pPr>
        <w:rPr>
          <w:lang w:val="en-US"/>
        </w:rPr>
      </w:pPr>
      <w:r>
        <w:rPr>
          <w:lang w:val="en-US"/>
        </w:rPr>
        <w:t>There are multiple scenarios that are of interest to when evaluating IAB</w:t>
      </w:r>
      <w:r w:rsidR="0070248C">
        <w:rPr>
          <w:lang w:val="en-US"/>
        </w:rPr>
        <w:t xml:space="preserve"> captured in Table 1.</w:t>
      </w:r>
    </w:p>
    <w:p w14:paraId="3858A518" w14:textId="761C2050" w:rsidR="0070248C" w:rsidRPr="0012676D" w:rsidRDefault="0070248C" w:rsidP="0012676D">
      <w:pPr>
        <w:pStyle w:val="Caption"/>
        <w:keepNext/>
        <w:ind w:left="1136" w:firstLine="284"/>
        <w:rPr>
          <w:b/>
        </w:rPr>
      </w:pPr>
      <w:r w:rsidRPr="0012676D">
        <w:rPr>
          <w:b/>
          <w:i w:val="0"/>
          <w:color w:val="auto"/>
        </w:rPr>
        <w:t xml:space="preserve">Table </w:t>
      </w:r>
      <w:r w:rsidRPr="0012676D">
        <w:rPr>
          <w:b/>
          <w:i w:val="0"/>
          <w:color w:val="auto"/>
        </w:rPr>
        <w:fldChar w:fldCharType="begin"/>
      </w:r>
      <w:r w:rsidRPr="0012676D">
        <w:rPr>
          <w:b/>
          <w:i w:val="0"/>
          <w:color w:val="auto"/>
        </w:rPr>
        <w:instrText xml:space="preserve"> SEQ Table \* ARABIC </w:instrText>
      </w:r>
      <w:r w:rsidRPr="0012676D">
        <w:rPr>
          <w:b/>
          <w:i w:val="0"/>
          <w:color w:val="auto"/>
        </w:rPr>
        <w:fldChar w:fldCharType="separate"/>
      </w:r>
      <w:r w:rsidRPr="0012676D">
        <w:rPr>
          <w:b/>
          <w:i w:val="0"/>
          <w:noProof/>
          <w:color w:val="auto"/>
        </w:rPr>
        <w:t>1</w:t>
      </w:r>
      <w:r w:rsidRPr="0012676D">
        <w:rPr>
          <w:b/>
          <w:i w:val="0"/>
          <w:color w:val="auto"/>
        </w:rPr>
        <w:fldChar w:fldCharType="end"/>
      </w:r>
      <w:r w:rsidR="00FC32C0">
        <w:rPr>
          <w:b/>
          <w:i w:val="0"/>
          <w:color w:val="auto"/>
        </w:rPr>
        <w:t>:</w:t>
      </w:r>
      <w:r w:rsidRPr="0012676D">
        <w:rPr>
          <w:b/>
          <w:i w:val="0"/>
          <w:color w:val="auto"/>
        </w:rPr>
        <w:t xml:space="preserve"> Scenarios of interest </w:t>
      </w:r>
      <w:r w:rsidR="00FC32C0">
        <w:rPr>
          <w:b/>
          <w:i w:val="0"/>
          <w:color w:val="auto"/>
        </w:rPr>
        <w:t>for</w:t>
      </w:r>
      <w:r w:rsidR="00FC32C0" w:rsidRPr="0012676D">
        <w:rPr>
          <w:b/>
          <w:i w:val="0"/>
          <w:color w:val="auto"/>
        </w:rPr>
        <w:t xml:space="preserve"> </w:t>
      </w:r>
      <w:r w:rsidRPr="0012676D">
        <w:rPr>
          <w:b/>
          <w:i w:val="0"/>
          <w:color w:val="auto"/>
        </w:rPr>
        <w:t>IAB</w:t>
      </w:r>
      <w:r w:rsidR="00FC32C0">
        <w:rPr>
          <w:b/>
          <w:i w:val="0"/>
          <w:color w:val="auto"/>
        </w:rPr>
        <w:t xml:space="preserve"> RF coexistence</w:t>
      </w:r>
    </w:p>
    <w:tbl>
      <w:tblPr>
        <w:tblStyle w:val="GridTable1Light"/>
        <w:tblW w:w="5843" w:type="dxa"/>
        <w:tblInd w:w="1258" w:type="dxa"/>
        <w:tblLook w:val="04A0" w:firstRow="1" w:lastRow="0" w:firstColumn="1" w:lastColumn="0" w:noHBand="0" w:noVBand="1"/>
      </w:tblPr>
      <w:tblGrid>
        <w:gridCol w:w="1459"/>
        <w:gridCol w:w="1869"/>
        <w:gridCol w:w="2515"/>
      </w:tblGrid>
      <w:tr w:rsidR="00917BF3" w14:paraId="1F4E793C" w14:textId="130B7389" w:rsidTr="001267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9B5ECF1" w14:textId="0C1CA2C8" w:rsidR="00917BF3" w:rsidRDefault="00917BF3" w:rsidP="0012676D">
            <w:pPr>
              <w:jc w:val="center"/>
              <w:rPr>
                <w:lang w:val="en-US"/>
              </w:rPr>
            </w:pPr>
            <w:r>
              <w:rPr>
                <w:lang w:val="en-US"/>
              </w:rPr>
              <w:t>Case</w:t>
            </w:r>
          </w:p>
        </w:tc>
        <w:tc>
          <w:tcPr>
            <w:tcW w:w="0" w:type="dxa"/>
          </w:tcPr>
          <w:p w14:paraId="6357185C" w14:textId="5B1CE7D5" w:rsidR="00917BF3" w:rsidRDefault="00917BF3" w:rsidP="0012676D">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Victim</w:t>
            </w:r>
          </w:p>
        </w:tc>
        <w:tc>
          <w:tcPr>
            <w:tcW w:w="0" w:type="dxa"/>
          </w:tcPr>
          <w:p w14:paraId="3674C510" w14:textId="518C7DE7" w:rsidR="00917BF3" w:rsidRDefault="00917BF3" w:rsidP="00917BF3">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Aggressor</w:t>
            </w:r>
          </w:p>
        </w:tc>
      </w:tr>
      <w:tr w:rsidR="00917BF3" w14:paraId="633548FE" w14:textId="1CAEDB74" w:rsidTr="0012676D">
        <w:tc>
          <w:tcPr>
            <w:cnfStyle w:val="001000000000" w:firstRow="0" w:lastRow="0" w:firstColumn="1" w:lastColumn="0" w:oddVBand="0" w:evenVBand="0" w:oddHBand="0" w:evenHBand="0" w:firstRowFirstColumn="0" w:firstRowLastColumn="0" w:lastRowFirstColumn="0" w:lastRowLastColumn="0"/>
            <w:tcW w:w="0" w:type="dxa"/>
          </w:tcPr>
          <w:p w14:paraId="208DB749" w14:textId="63AB7229" w:rsidR="00917BF3" w:rsidRDefault="00917BF3" w:rsidP="00917BF3">
            <w:pPr>
              <w:rPr>
                <w:lang w:val="en-US"/>
              </w:rPr>
            </w:pPr>
            <w:r>
              <w:rPr>
                <w:lang w:val="en-US"/>
              </w:rPr>
              <w:t>1</w:t>
            </w:r>
          </w:p>
        </w:tc>
        <w:tc>
          <w:tcPr>
            <w:tcW w:w="0" w:type="dxa"/>
          </w:tcPr>
          <w:p w14:paraId="2D77AD04" w14:textId="3F2ED704" w:rsidR="00917BF3" w:rsidRDefault="00917BF3" w:rsidP="00917BF3">
            <w:pPr>
              <w:cnfStyle w:val="000000000000" w:firstRow="0" w:lastRow="0" w:firstColumn="0" w:lastColumn="0" w:oddVBand="0" w:evenVBand="0" w:oddHBand="0" w:evenHBand="0" w:firstRowFirstColumn="0" w:firstRowLastColumn="0" w:lastRowFirstColumn="0" w:lastRowLastColumn="0"/>
              <w:rPr>
                <w:lang w:val="en-US"/>
              </w:rPr>
            </w:pPr>
            <w:r>
              <w:rPr>
                <w:lang w:val="en-US"/>
              </w:rPr>
              <w:t>TDD NR Access System</w:t>
            </w:r>
          </w:p>
        </w:tc>
        <w:tc>
          <w:tcPr>
            <w:tcW w:w="0" w:type="dxa"/>
          </w:tcPr>
          <w:p w14:paraId="211E96E6" w14:textId="15C6D6EF" w:rsidR="00917BF3" w:rsidRDefault="00917BF3" w:rsidP="00917BF3">
            <w:pPr>
              <w:cnfStyle w:val="000000000000" w:firstRow="0" w:lastRow="0" w:firstColumn="0" w:lastColumn="0" w:oddVBand="0" w:evenVBand="0" w:oddHBand="0" w:evenHBand="0" w:firstRowFirstColumn="0" w:firstRowLastColumn="0" w:lastRowFirstColumn="0" w:lastRowLastColumn="0"/>
              <w:rPr>
                <w:lang w:val="en-US"/>
              </w:rPr>
            </w:pPr>
            <w:r>
              <w:rPr>
                <w:lang w:val="en-US"/>
              </w:rPr>
              <w:t>None</w:t>
            </w:r>
          </w:p>
        </w:tc>
      </w:tr>
      <w:tr w:rsidR="00917BF3" w14:paraId="23C4C0B2" w14:textId="70F7B2BC" w:rsidTr="0012676D">
        <w:tc>
          <w:tcPr>
            <w:cnfStyle w:val="001000000000" w:firstRow="0" w:lastRow="0" w:firstColumn="1" w:lastColumn="0" w:oddVBand="0" w:evenVBand="0" w:oddHBand="0" w:evenHBand="0" w:firstRowFirstColumn="0" w:firstRowLastColumn="0" w:lastRowFirstColumn="0" w:lastRowLastColumn="0"/>
            <w:tcW w:w="0" w:type="dxa"/>
          </w:tcPr>
          <w:p w14:paraId="0E3E309D" w14:textId="02FB7C9D" w:rsidR="00917BF3" w:rsidRDefault="00917BF3" w:rsidP="00917BF3">
            <w:pPr>
              <w:rPr>
                <w:lang w:val="en-US"/>
              </w:rPr>
            </w:pPr>
            <w:r>
              <w:rPr>
                <w:lang w:val="en-US"/>
              </w:rPr>
              <w:t>2</w:t>
            </w:r>
          </w:p>
        </w:tc>
        <w:tc>
          <w:tcPr>
            <w:tcW w:w="0" w:type="dxa"/>
          </w:tcPr>
          <w:p w14:paraId="3E858825" w14:textId="222031E7" w:rsidR="00917BF3" w:rsidRDefault="00917BF3" w:rsidP="00917BF3">
            <w:pPr>
              <w:cnfStyle w:val="000000000000" w:firstRow="0" w:lastRow="0" w:firstColumn="0" w:lastColumn="0" w:oddVBand="0" w:evenVBand="0" w:oddHBand="0" w:evenHBand="0" w:firstRowFirstColumn="0" w:firstRowLastColumn="0" w:lastRowFirstColumn="0" w:lastRowLastColumn="0"/>
              <w:rPr>
                <w:lang w:val="en-US"/>
              </w:rPr>
            </w:pPr>
            <w:r>
              <w:rPr>
                <w:lang w:val="en-US"/>
              </w:rPr>
              <w:t>TDD NR Access System</w:t>
            </w:r>
          </w:p>
        </w:tc>
        <w:tc>
          <w:tcPr>
            <w:tcW w:w="0" w:type="dxa"/>
          </w:tcPr>
          <w:p w14:paraId="7F1FFDDD" w14:textId="08305915" w:rsidR="00917BF3" w:rsidRDefault="00917BF3" w:rsidP="00917BF3">
            <w:pPr>
              <w:cnfStyle w:val="000000000000" w:firstRow="0" w:lastRow="0" w:firstColumn="0" w:lastColumn="0" w:oddVBand="0" w:evenVBand="0" w:oddHBand="0" w:evenHBand="0" w:firstRowFirstColumn="0" w:firstRowLastColumn="0" w:lastRowFirstColumn="0" w:lastRowLastColumn="0"/>
              <w:rPr>
                <w:lang w:val="en-US"/>
              </w:rPr>
            </w:pPr>
            <w:r>
              <w:rPr>
                <w:lang w:val="en-US"/>
              </w:rPr>
              <w:t>TDD NR Access System</w:t>
            </w:r>
          </w:p>
        </w:tc>
      </w:tr>
      <w:tr w:rsidR="00917BF3" w14:paraId="2A8EB6D0" w14:textId="75453573" w:rsidTr="0012676D">
        <w:tc>
          <w:tcPr>
            <w:cnfStyle w:val="001000000000" w:firstRow="0" w:lastRow="0" w:firstColumn="1" w:lastColumn="0" w:oddVBand="0" w:evenVBand="0" w:oddHBand="0" w:evenHBand="0" w:firstRowFirstColumn="0" w:firstRowLastColumn="0" w:lastRowFirstColumn="0" w:lastRowLastColumn="0"/>
            <w:tcW w:w="0" w:type="dxa"/>
          </w:tcPr>
          <w:p w14:paraId="4E21418F" w14:textId="48272630" w:rsidR="00917BF3" w:rsidRDefault="00917BF3" w:rsidP="00917BF3">
            <w:pPr>
              <w:rPr>
                <w:lang w:val="en-US"/>
              </w:rPr>
            </w:pPr>
            <w:r>
              <w:rPr>
                <w:lang w:val="en-US"/>
              </w:rPr>
              <w:t>3</w:t>
            </w:r>
          </w:p>
        </w:tc>
        <w:tc>
          <w:tcPr>
            <w:tcW w:w="0" w:type="dxa"/>
          </w:tcPr>
          <w:p w14:paraId="7019D85F" w14:textId="6FF774C0" w:rsidR="00917BF3" w:rsidRDefault="00917BF3" w:rsidP="00917BF3">
            <w:pPr>
              <w:cnfStyle w:val="000000000000" w:firstRow="0" w:lastRow="0" w:firstColumn="0" w:lastColumn="0" w:oddVBand="0" w:evenVBand="0" w:oddHBand="0" w:evenHBand="0" w:firstRowFirstColumn="0" w:firstRowLastColumn="0" w:lastRowFirstColumn="0" w:lastRowLastColumn="0"/>
              <w:rPr>
                <w:lang w:val="en-US"/>
              </w:rPr>
            </w:pPr>
            <w:r>
              <w:rPr>
                <w:lang w:val="en-US"/>
              </w:rPr>
              <w:t>TDD NR Access System</w:t>
            </w:r>
          </w:p>
        </w:tc>
        <w:tc>
          <w:tcPr>
            <w:tcW w:w="0" w:type="dxa"/>
          </w:tcPr>
          <w:p w14:paraId="0263AD5F" w14:textId="41D62E54" w:rsidR="00917BF3" w:rsidRDefault="00917BF3" w:rsidP="00917BF3">
            <w:pPr>
              <w:cnfStyle w:val="000000000000" w:firstRow="0" w:lastRow="0" w:firstColumn="0" w:lastColumn="0" w:oddVBand="0" w:evenVBand="0" w:oddHBand="0" w:evenHBand="0" w:firstRowFirstColumn="0" w:firstRowLastColumn="0" w:lastRowFirstColumn="0" w:lastRowLastColumn="0"/>
              <w:rPr>
                <w:lang w:val="en-US"/>
              </w:rPr>
            </w:pPr>
            <w:r>
              <w:rPr>
                <w:lang w:val="en-US"/>
              </w:rPr>
              <w:t>IAB Links Only</w:t>
            </w:r>
          </w:p>
        </w:tc>
      </w:tr>
      <w:tr w:rsidR="00917BF3" w14:paraId="20CF57A3" w14:textId="27A123EE" w:rsidTr="0012676D">
        <w:tc>
          <w:tcPr>
            <w:cnfStyle w:val="001000000000" w:firstRow="0" w:lastRow="0" w:firstColumn="1" w:lastColumn="0" w:oddVBand="0" w:evenVBand="0" w:oddHBand="0" w:evenHBand="0" w:firstRowFirstColumn="0" w:firstRowLastColumn="0" w:lastRowFirstColumn="0" w:lastRowLastColumn="0"/>
            <w:tcW w:w="0" w:type="dxa"/>
          </w:tcPr>
          <w:p w14:paraId="40081E9B" w14:textId="20F0CCEA" w:rsidR="00917BF3" w:rsidRDefault="00917BF3" w:rsidP="00917BF3">
            <w:pPr>
              <w:rPr>
                <w:lang w:val="en-US"/>
              </w:rPr>
            </w:pPr>
            <w:r>
              <w:rPr>
                <w:lang w:val="en-US"/>
              </w:rPr>
              <w:t>4</w:t>
            </w:r>
          </w:p>
        </w:tc>
        <w:tc>
          <w:tcPr>
            <w:tcW w:w="0" w:type="dxa"/>
          </w:tcPr>
          <w:p w14:paraId="7999EABD" w14:textId="7ED10AC9" w:rsidR="00917BF3" w:rsidRDefault="00917BF3" w:rsidP="00917BF3">
            <w:pPr>
              <w:cnfStyle w:val="000000000000" w:firstRow="0" w:lastRow="0" w:firstColumn="0" w:lastColumn="0" w:oddVBand="0" w:evenVBand="0" w:oddHBand="0" w:evenHBand="0" w:firstRowFirstColumn="0" w:firstRowLastColumn="0" w:lastRowFirstColumn="0" w:lastRowLastColumn="0"/>
              <w:rPr>
                <w:lang w:val="en-US"/>
              </w:rPr>
            </w:pPr>
            <w:r>
              <w:rPr>
                <w:lang w:val="en-US"/>
              </w:rPr>
              <w:t>TDD NR Access System</w:t>
            </w:r>
          </w:p>
        </w:tc>
        <w:tc>
          <w:tcPr>
            <w:tcW w:w="0" w:type="dxa"/>
          </w:tcPr>
          <w:p w14:paraId="7C3811AD" w14:textId="50BC3317" w:rsidR="00917BF3" w:rsidRDefault="00917BF3" w:rsidP="00917BF3">
            <w:pPr>
              <w:cnfStyle w:val="000000000000" w:firstRow="0" w:lastRow="0" w:firstColumn="0" w:lastColumn="0" w:oddVBand="0" w:evenVBand="0" w:oddHBand="0" w:evenHBand="0" w:firstRowFirstColumn="0" w:firstRowLastColumn="0" w:lastRowFirstColumn="0" w:lastRowLastColumn="0"/>
              <w:rPr>
                <w:lang w:val="en-US"/>
              </w:rPr>
            </w:pPr>
            <w:r>
              <w:rPr>
                <w:lang w:val="en-US"/>
              </w:rPr>
              <w:t>IAB NR Access System</w:t>
            </w:r>
          </w:p>
        </w:tc>
      </w:tr>
      <w:tr w:rsidR="00917BF3" w14:paraId="62DA260C" w14:textId="5F52DA29" w:rsidTr="0012676D">
        <w:tc>
          <w:tcPr>
            <w:cnfStyle w:val="001000000000" w:firstRow="0" w:lastRow="0" w:firstColumn="1" w:lastColumn="0" w:oddVBand="0" w:evenVBand="0" w:oddHBand="0" w:evenHBand="0" w:firstRowFirstColumn="0" w:firstRowLastColumn="0" w:lastRowFirstColumn="0" w:lastRowLastColumn="0"/>
            <w:tcW w:w="0" w:type="dxa"/>
          </w:tcPr>
          <w:p w14:paraId="5513EFBE" w14:textId="65F27432" w:rsidR="00917BF3" w:rsidRDefault="00917BF3" w:rsidP="00917BF3">
            <w:pPr>
              <w:rPr>
                <w:lang w:val="en-US"/>
              </w:rPr>
            </w:pPr>
            <w:r>
              <w:rPr>
                <w:lang w:val="en-US"/>
              </w:rPr>
              <w:t>5</w:t>
            </w:r>
          </w:p>
        </w:tc>
        <w:tc>
          <w:tcPr>
            <w:tcW w:w="0" w:type="dxa"/>
          </w:tcPr>
          <w:p w14:paraId="718A548A" w14:textId="1924E20E" w:rsidR="00917BF3" w:rsidRDefault="00917BF3" w:rsidP="00917BF3">
            <w:pPr>
              <w:cnfStyle w:val="000000000000" w:firstRow="0" w:lastRow="0" w:firstColumn="0" w:lastColumn="0" w:oddVBand="0" w:evenVBand="0" w:oddHBand="0" w:evenHBand="0" w:firstRowFirstColumn="0" w:firstRowLastColumn="0" w:lastRowFirstColumn="0" w:lastRowLastColumn="0"/>
              <w:rPr>
                <w:lang w:val="en-US"/>
              </w:rPr>
            </w:pPr>
            <w:r>
              <w:rPr>
                <w:lang w:val="en-US"/>
              </w:rPr>
              <w:t>IAB NR Access System</w:t>
            </w:r>
          </w:p>
        </w:tc>
        <w:tc>
          <w:tcPr>
            <w:tcW w:w="0" w:type="dxa"/>
          </w:tcPr>
          <w:p w14:paraId="5CA822CF" w14:textId="5F00ECBE" w:rsidR="00917BF3" w:rsidRDefault="00917BF3" w:rsidP="00917BF3">
            <w:pPr>
              <w:cnfStyle w:val="000000000000" w:firstRow="0" w:lastRow="0" w:firstColumn="0" w:lastColumn="0" w:oddVBand="0" w:evenVBand="0" w:oddHBand="0" w:evenHBand="0" w:firstRowFirstColumn="0" w:firstRowLastColumn="0" w:lastRowFirstColumn="0" w:lastRowLastColumn="0"/>
              <w:rPr>
                <w:lang w:val="en-US"/>
              </w:rPr>
            </w:pPr>
            <w:r>
              <w:rPr>
                <w:lang w:val="en-US"/>
              </w:rPr>
              <w:t>IAB NR Access System</w:t>
            </w:r>
          </w:p>
        </w:tc>
      </w:tr>
    </w:tbl>
    <w:p w14:paraId="2BBE3EAF" w14:textId="77777777" w:rsidR="008B78CD" w:rsidRPr="00A7551B" w:rsidRDefault="008B78CD" w:rsidP="00526D53">
      <w:pPr>
        <w:rPr>
          <w:lang w:val="en-US"/>
        </w:rPr>
      </w:pPr>
    </w:p>
    <w:p w14:paraId="0CDC76EC" w14:textId="77777777" w:rsidR="004964CB" w:rsidRDefault="0070248C" w:rsidP="00972169">
      <w:pPr>
        <w:rPr>
          <w:lang w:val="en-US"/>
        </w:rPr>
      </w:pPr>
      <w:r>
        <w:rPr>
          <w:lang w:val="en-US"/>
        </w:rPr>
        <w:t>Case 1 defines a possible baseline capturing the performance of the victim system without any adjacent channel interference.  However, using Case 1 as a baseline may be too pessimistic as IAB links will only add incremental over the interference generated by the access traffic and</w:t>
      </w:r>
      <w:r w:rsidR="004964CB">
        <w:rPr>
          <w:lang w:val="en-US"/>
        </w:rPr>
        <w:t xml:space="preserve"> may, in fact, be a negligible source of additional interference.  Case 2 defines a better baseline for comparison where interference generated by an adjacent access system would be accounted for.   </w:t>
      </w:r>
    </w:p>
    <w:p w14:paraId="583EB586" w14:textId="049A833D" w:rsidR="00972169" w:rsidRPr="00A7551B" w:rsidRDefault="004964CB" w:rsidP="0012676D">
      <w:pPr>
        <w:rPr>
          <w:lang w:val="en-US"/>
        </w:rPr>
      </w:pPr>
      <w:r>
        <w:rPr>
          <w:lang w:val="en-US"/>
        </w:rPr>
        <w:lastRenderedPageBreak/>
        <w:t xml:space="preserve">Cases 3 to 5 are three possible ways of modeling the interference produced by an adjacent IAB system.  Cases 3 prescribes that </w:t>
      </w:r>
      <w:r w:rsidR="00972169" w:rsidRPr="00A7551B">
        <w:rPr>
          <w:lang w:val="en-US"/>
        </w:rPr>
        <w:t xml:space="preserve">IAB links alone can be modelled as they represent the most significant interference having elevation angles pointed at the </w:t>
      </w:r>
      <w:r w:rsidR="00972169" w:rsidRPr="00B83866">
        <w:rPr>
          <w:lang w:val="en-US"/>
        </w:rPr>
        <w:t>horizon</w:t>
      </w:r>
      <w:r w:rsidR="00286008" w:rsidRPr="00B83866">
        <w:rPr>
          <w:lang w:val="en-US"/>
        </w:rPr>
        <w:t xml:space="preserve">. </w:t>
      </w:r>
      <w:r w:rsidR="00B83866">
        <w:rPr>
          <w:lang w:val="en-US"/>
        </w:rPr>
        <w:t xml:space="preserve"> In case 3, </w:t>
      </w:r>
      <w:r w:rsidRPr="0012676D">
        <w:rPr>
          <w:lang w:val="en-US"/>
        </w:rPr>
        <w:t xml:space="preserve">IAB </w:t>
      </w:r>
      <w:r w:rsidR="00B83866">
        <w:rPr>
          <w:lang w:val="en-US"/>
        </w:rPr>
        <w:t xml:space="preserve">nodes </w:t>
      </w:r>
      <w:r w:rsidRPr="0012676D">
        <w:rPr>
          <w:lang w:val="en-US"/>
        </w:rPr>
        <w:t xml:space="preserve">can be modelled as point-to-point links which are randomly </w:t>
      </w:r>
      <w:r w:rsidR="00B83866" w:rsidRPr="00B83866">
        <w:rPr>
          <w:lang w:val="en-US"/>
        </w:rPr>
        <w:t>dropped but</w:t>
      </w:r>
      <w:r w:rsidRPr="0012676D">
        <w:rPr>
          <w:lang w:val="en-US"/>
        </w:rPr>
        <w:t xml:space="preserve"> maintain a minimum distance both towards the victim base stations and each other. </w:t>
      </w:r>
      <w:r w:rsidR="00286008" w:rsidRPr="00B83866">
        <w:rPr>
          <w:lang w:val="en-US"/>
        </w:rPr>
        <w:t>The additional interference generated by the IAB</w:t>
      </w:r>
      <w:r w:rsidRPr="00B83866">
        <w:rPr>
          <w:lang w:val="en-US"/>
        </w:rPr>
        <w:t xml:space="preserve"> links in Case 3</w:t>
      </w:r>
      <w:r w:rsidR="00286008" w:rsidRPr="004964CB">
        <w:rPr>
          <w:lang w:val="en-US"/>
        </w:rPr>
        <w:t xml:space="preserve"> should be compared to the baseline of non-IAB aggressor network</w:t>
      </w:r>
      <w:r>
        <w:rPr>
          <w:lang w:val="en-US"/>
        </w:rPr>
        <w:t xml:space="preserve"> of Case 2</w:t>
      </w:r>
      <w:r w:rsidR="00286008">
        <w:rPr>
          <w:lang w:val="en-US"/>
        </w:rPr>
        <w:t>.</w:t>
      </w:r>
      <w:r>
        <w:rPr>
          <w:lang w:val="en-US"/>
        </w:rPr>
        <w:t xml:space="preserve">   Case 4 prescribes a</w:t>
      </w:r>
      <w:r w:rsidR="00972169" w:rsidRPr="00A7551B">
        <w:rPr>
          <w:lang w:val="en-US"/>
        </w:rPr>
        <w:t xml:space="preserve"> complete IAB system may be modelled as an aggressor.  </w:t>
      </w:r>
      <w:r w:rsidR="00B83866">
        <w:rPr>
          <w:lang w:val="en-US"/>
        </w:rPr>
        <w:t>Again, t</w:t>
      </w:r>
      <w:r w:rsidR="00972169" w:rsidRPr="00A7551B">
        <w:rPr>
          <w:lang w:val="en-US"/>
        </w:rPr>
        <w:t xml:space="preserve">he additional interference generated by the IAB </w:t>
      </w:r>
      <w:r w:rsidR="00B83866">
        <w:rPr>
          <w:lang w:val="en-US"/>
        </w:rPr>
        <w:t>system in case 4</w:t>
      </w:r>
      <w:r w:rsidR="00972169" w:rsidRPr="00A7551B">
        <w:rPr>
          <w:lang w:val="en-US"/>
        </w:rPr>
        <w:t xml:space="preserve"> should be compared to the baseline of non-IAB aggressor network</w:t>
      </w:r>
      <w:r w:rsidR="00B83866">
        <w:rPr>
          <w:lang w:val="en-US"/>
        </w:rPr>
        <w:t xml:space="preserve"> of case 2</w:t>
      </w:r>
    </w:p>
    <w:p w14:paraId="19D8F4CD" w14:textId="46CEE743" w:rsidR="00A76750" w:rsidRDefault="00972169" w:rsidP="00972169">
      <w:pPr>
        <w:rPr>
          <w:lang w:val="en-US"/>
        </w:rPr>
      </w:pPr>
      <w:r w:rsidRPr="00A7551B">
        <w:rPr>
          <w:lang w:val="en-US"/>
        </w:rPr>
        <w:t>In</w:t>
      </w:r>
      <w:r w:rsidR="00B83866">
        <w:rPr>
          <w:lang w:val="en-US"/>
        </w:rPr>
        <w:t xml:space="preserve"> case 4</w:t>
      </w:r>
      <w:r w:rsidRPr="00A7551B">
        <w:rPr>
          <w:lang w:val="en-US"/>
        </w:rPr>
        <w:t xml:space="preserve"> </w:t>
      </w:r>
      <w:r w:rsidR="00B83866">
        <w:rPr>
          <w:lang w:val="en-US"/>
        </w:rPr>
        <w:t xml:space="preserve">and 5 </w:t>
      </w:r>
      <w:r w:rsidR="00472CF2" w:rsidRPr="00A7551B">
        <w:rPr>
          <w:lang w:val="en-US"/>
        </w:rPr>
        <w:t xml:space="preserve">where the complete IAB aggressor system is modelled, the aggressor system may be modelled on an offset grid which is determined by the unused macro locations.   </w:t>
      </w:r>
    </w:p>
    <w:p w14:paraId="6C11DEC8" w14:textId="78BE3CB2" w:rsidR="00B83866" w:rsidRDefault="00B83866" w:rsidP="00972169">
      <w:pPr>
        <w:rPr>
          <w:lang w:val="en-US"/>
        </w:rPr>
      </w:pPr>
      <w:r w:rsidRPr="00A7551B">
        <w:rPr>
          <w:lang w:val="en-US"/>
        </w:rPr>
        <w:t xml:space="preserve">In </w:t>
      </w:r>
      <w:proofErr w:type="gramStart"/>
      <w:r w:rsidRPr="00A7551B">
        <w:rPr>
          <w:lang w:val="en-US"/>
        </w:rPr>
        <w:t>this case</w:t>
      </w:r>
      <w:r>
        <w:rPr>
          <w:lang w:val="en-US"/>
        </w:rPr>
        <w:t>s</w:t>
      </w:r>
      <w:proofErr w:type="gramEnd"/>
      <w:r>
        <w:rPr>
          <w:lang w:val="en-US"/>
        </w:rPr>
        <w:t xml:space="preserve"> 2 to 5</w:t>
      </w:r>
      <w:r w:rsidRPr="00A7551B">
        <w:rPr>
          <w:lang w:val="en-US"/>
        </w:rPr>
        <w:t>, the aggressor network may be coordinated, uncoordinated or dynamic TDD.</w:t>
      </w:r>
    </w:p>
    <w:p w14:paraId="5063326A" w14:textId="4FD2343F" w:rsidR="006824A6" w:rsidRDefault="00B83866" w:rsidP="00972169">
      <w:pPr>
        <w:rPr>
          <w:lang w:val="en-US"/>
        </w:rPr>
      </w:pPr>
      <w:r>
        <w:rPr>
          <w:lang w:val="en-US"/>
        </w:rPr>
        <w:t xml:space="preserve">The IAB performance should be assessed against </w:t>
      </w:r>
      <w:r w:rsidR="00A76750">
        <w:rPr>
          <w:lang w:val="en-US"/>
        </w:rPr>
        <w:t xml:space="preserve">the baseline </w:t>
      </w:r>
      <w:r w:rsidR="00472CF2" w:rsidRPr="00A7551B">
        <w:rPr>
          <w:lang w:val="en-US"/>
        </w:rPr>
        <w:t xml:space="preserve">performance of the victim </w:t>
      </w:r>
      <w:r w:rsidR="006824A6">
        <w:rPr>
          <w:lang w:val="en-US"/>
        </w:rPr>
        <w:t xml:space="preserve">network </w:t>
      </w:r>
      <w:r w:rsidR="00472CF2" w:rsidRPr="00A7551B">
        <w:rPr>
          <w:lang w:val="en-US"/>
        </w:rPr>
        <w:t xml:space="preserve">with a NR </w:t>
      </w:r>
      <w:r w:rsidR="00EF5428">
        <w:rPr>
          <w:lang w:val="en-US"/>
        </w:rPr>
        <w:t xml:space="preserve">access </w:t>
      </w:r>
      <w:r w:rsidR="006824A6">
        <w:rPr>
          <w:lang w:val="en-US"/>
        </w:rPr>
        <w:t>network</w:t>
      </w:r>
      <w:r w:rsidR="00472CF2" w:rsidRPr="00A7551B">
        <w:rPr>
          <w:lang w:val="en-US"/>
        </w:rPr>
        <w:t xml:space="preserve"> acting as the aggressor (either coordinated or fully dynamic). </w:t>
      </w:r>
      <w:r w:rsidR="006824A6">
        <w:rPr>
          <w:lang w:val="en-US"/>
        </w:rPr>
        <w:t>The performance of the victim network under</w:t>
      </w:r>
      <w:r w:rsidR="00472CF2" w:rsidRPr="00A7551B">
        <w:rPr>
          <w:lang w:val="en-US"/>
        </w:rPr>
        <w:t xml:space="preserve"> </w:t>
      </w:r>
      <w:r w:rsidR="006824A6">
        <w:rPr>
          <w:lang w:val="en-US"/>
        </w:rPr>
        <w:t xml:space="preserve">IAB deployment as </w:t>
      </w:r>
      <w:r w:rsidR="00472CF2" w:rsidRPr="00A7551B">
        <w:rPr>
          <w:lang w:val="en-US"/>
        </w:rPr>
        <w:t>aggressor network</w:t>
      </w:r>
      <w:r w:rsidR="00384AB3" w:rsidRPr="00A7551B">
        <w:rPr>
          <w:lang w:val="en-US"/>
        </w:rPr>
        <w:t xml:space="preserve"> </w:t>
      </w:r>
      <w:r w:rsidR="006824A6">
        <w:rPr>
          <w:lang w:val="en-US"/>
        </w:rPr>
        <w:t>shall be compared to the baseline.</w:t>
      </w:r>
      <w:r w:rsidR="004D1AF7">
        <w:rPr>
          <w:lang w:val="en-US"/>
        </w:rPr>
        <w:t xml:space="preserve"> </w:t>
      </w:r>
      <w:r w:rsidR="00451E75">
        <w:rPr>
          <w:lang w:val="en-US"/>
        </w:rPr>
        <w:t>Therefore,</w:t>
      </w:r>
      <w:r w:rsidR="004D1AF7">
        <w:rPr>
          <w:lang w:val="en-US"/>
        </w:rPr>
        <w:t xml:space="preserve"> the metric to be looked at is whether IAB is better or worse neighbor than regular NR access network.</w:t>
      </w:r>
    </w:p>
    <w:p w14:paraId="635D05A8" w14:textId="047D18C6" w:rsidR="008B13EE" w:rsidRPr="00A7551B" w:rsidRDefault="008B13EE" w:rsidP="00526D53">
      <w:pPr>
        <w:rPr>
          <w:lang w:val="en-US"/>
        </w:rPr>
      </w:pPr>
      <w:r w:rsidRPr="00A7551B">
        <w:rPr>
          <w:lang w:val="en-US"/>
        </w:rPr>
        <w:t xml:space="preserve">In addition, if a scenario where IAB-MT transmission take place </w:t>
      </w:r>
      <w:r w:rsidR="00FC32C0">
        <w:rPr>
          <w:lang w:val="en-US"/>
        </w:rPr>
        <w:t xml:space="preserve">only </w:t>
      </w:r>
      <w:r w:rsidRPr="00A7551B">
        <w:rPr>
          <w:lang w:val="en-US"/>
        </w:rPr>
        <w:t xml:space="preserve">during DL slots is considered also co-location of IAB-Nodes is possible. </w:t>
      </w:r>
    </w:p>
    <w:p w14:paraId="5EB6567A" w14:textId="4AAD17C6" w:rsidR="00BC53DF" w:rsidRPr="00A7551B" w:rsidRDefault="00511C6C" w:rsidP="00526D53">
      <w:pPr>
        <w:rPr>
          <w:b/>
          <w:lang w:val="en-US"/>
        </w:rPr>
      </w:pPr>
      <w:r w:rsidRPr="00A7551B">
        <w:rPr>
          <w:b/>
          <w:lang w:val="en-US"/>
        </w:rPr>
        <w:t xml:space="preserve">Proposal </w:t>
      </w:r>
      <w:r w:rsidR="006158E7" w:rsidRPr="00A7551B">
        <w:rPr>
          <w:b/>
          <w:lang w:val="en-US"/>
        </w:rPr>
        <w:t>1</w:t>
      </w:r>
      <w:r w:rsidRPr="00A7551B">
        <w:rPr>
          <w:b/>
          <w:lang w:val="en-US"/>
        </w:rPr>
        <w:t xml:space="preserve">: IAB-MT RF coexistence study is based on </w:t>
      </w:r>
      <w:r w:rsidR="00B83866">
        <w:rPr>
          <w:b/>
          <w:lang w:val="en-US"/>
        </w:rPr>
        <w:t>micro</w:t>
      </w:r>
      <w:r w:rsidRPr="00A7551B">
        <w:rPr>
          <w:b/>
          <w:lang w:val="en-US"/>
        </w:rPr>
        <w:t xml:space="preserve"> deployment scenario</w:t>
      </w:r>
    </w:p>
    <w:p w14:paraId="1128EACD" w14:textId="2003FAB6" w:rsidR="008B13EE" w:rsidRDefault="008B13EE" w:rsidP="00526D53">
      <w:pPr>
        <w:rPr>
          <w:b/>
          <w:lang w:val="en-US"/>
        </w:rPr>
      </w:pPr>
      <w:r w:rsidRPr="00A7551B">
        <w:rPr>
          <w:b/>
          <w:lang w:val="en-US"/>
        </w:rPr>
        <w:t xml:space="preserve">Proposal </w:t>
      </w:r>
      <w:r w:rsidR="006158E7" w:rsidRPr="00A7551B">
        <w:rPr>
          <w:b/>
          <w:lang w:val="en-US"/>
        </w:rPr>
        <w:t>2</w:t>
      </w:r>
      <w:r w:rsidRPr="00A7551B">
        <w:rPr>
          <w:b/>
          <w:lang w:val="en-US"/>
        </w:rPr>
        <w:t>: Urban macro scenario with coordinated deployment can be considered if IAB-MT transmissions take place during DL slots.</w:t>
      </w:r>
    </w:p>
    <w:p w14:paraId="53B5CC7E" w14:textId="4E2C0BA4" w:rsidR="00451E75" w:rsidRPr="00A7551B" w:rsidRDefault="00451E75" w:rsidP="00526D53">
      <w:pPr>
        <w:rPr>
          <w:b/>
          <w:lang w:val="en-US"/>
        </w:rPr>
      </w:pPr>
      <w:r>
        <w:rPr>
          <w:b/>
          <w:lang w:val="en-US"/>
        </w:rPr>
        <w:t xml:space="preserve">Proposal </w:t>
      </w:r>
      <w:r w:rsidR="00FC32C0">
        <w:rPr>
          <w:b/>
          <w:lang w:val="en-US"/>
        </w:rPr>
        <w:t>3</w:t>
      </w:r>
      <w:r>
        <w:rPr>
          <w:b/>
          <w:lang w:val="en-US"/>
        </w:rPr>
        <w:t xml:space="preserve">: </w:t>
      </w:r>
      <w:r w:rsidRPr="00451E75">
        <w:rPr>
          <w:b/>
          <w:lang w:val="en-US"/>
        </w:rPr>
        <w:t>The IAB performance should be assessed against the baseline performance of the victim network with a NR access network acting as the aggressor</w:t>
      </w:r>
    </w:p>
    <w:p w14:paraId="003EB6C4" w14:textId="62B8B0F8" w:rsidR="00A94141" w:rsidRPr="00A7551B" w:rsidRDefault="00A94141" w:rsidP="00A94141">
      <w:pPr>
        <w:pStyle w:val="Heading3"/>
        <w:rPr>
          <w:lang w:val="en-US"/>
        </w:rPr>
      </w:pPr>
      <w:r w:rsidRPr="00A7551B">
        <w:rPr>
          <w:lang w:val="en-US"/>
        </w:rPr>
        <w:t>2.2 IAB scenarios – transmission direction and timing in backhaul link</w:t>
      </w:r>
    </w:p>
    <w:p w14:paraId="5D6D1A43" w14:textId="743DC0CB" w:rsidR="007B0C56" w:rsidRDefault="00A94141" w:rsidP="00A94141">
      <w:pPr>
        <w:rPr>
          <w:lang w:val="en-US"/>
        </w:rPr>
      </w:pPr>
      <w:r w:rsidRPr="00A7551B">
        <w:rPr>
          <w:lang w:val="en-US"/>
        </w:rPr>
        <w:t>In RAN4#90bis different timing scenarios which could be applicable for the backhaul link operation were discussed and summarized in [3].</w:t>
      </w:r>
      <w:r w:rsidR="00EF5428">
        <w:rPr>
          <w:lang w:val="en-US"/>
        </w:rPr>
        <w:t xml:space="preserve"> Two options were presented</w:t>
      </w:r>
      <w:r w:rsidR="00FC32C0">
        <w:rPr>
          <w:lang w:val="en-US"/>
        </w:rPr>
        <w:t>:</w:t>
      </w:r>
      <w:r w:rsidR="00EF5428">
        <w:rPr>
          <w:lang w:val="en-US"/>
        </w:rPr>
        <w:t xml:space="preserve"> scenario </w:t>
      </w:r>
      <w:r w:rsidR="00AD5F26">
        <w:rPr>
          <w:lang w:val="en-US"/>
        </w:rPr>
        <w:t>#</w:t>
      </w:r>
      <w:r w:rsidR="00EF5428">
        <w:rPr>
          <w:lang w:val="en-US"/>
        </w:rPr>
        <w:t xml:space="preserve">1 where the IAB </w:t>
      </w:r>
      <w:r w:rsidR="00AD5F26">
        <w:rPr>
          <w:lang w:val="en-US"/>
        </w:rPr>
        <w:t xml:space="preserve">MT transmitted in the uplink partition of a coordinated TDD system and scenario #2 where the IAB transmitted in the downlink partition of a coordinated TDD system.  </w:t>
      </w:r>
      <w:r w:rsidR="00451E75">
        <w:rPr>
          <w:lang w:val="en-US"/>
        </w:rPr>
        <w:t xml:space="preserve"> </w:t>
      </w:r>
    </w:p>
    <w:p w14:paraId="7006341F" w14:textId="1E747A2D" w:rsidR="00AD5F26" w:rsidRDefault="007B0C56" w:rsidP="00A94141">
      <w:pPr>
        <w:rPr>
          <w:lang w:val="en-US"/>
        </w:rPr>
      </w:pPr>
      <w:r>
        <w:rPr>
          <w:lang w:val="en-US"/>
        </w:rPr>
        <w:t xml:space="preserve">There remains an open question </w:t>
      </w:r>
      <w:proofErr w:type="gramStart"/>
      <w:r>
        <w:rPr>
          <w:lang w:val="en-US"/>
        </w:rPr>
        <w:t>with regard to</w:t>
      </w:r>
      <w:proofErr w:type="gramEnd"/>
      <w:r>
        <w:rPr>
          <w:lang w:val="en-US"/>
        </w:rPr>
        <w:t xml:space="preserve"> scenario #2 in [3] as to whether it depicts an SDM scenario in one cell having an IAB cell simultaneously transmit from the DU and MT. </w:t>
      </w:r>
      <w:r w:rsidR="003D0F52">
        <w:rPr>
          <w:lang w:val="en-US"/>
        </w:rPr>
        <w:t>T</w:t>
      </w:r>
      <w:r>
        <w:rPr>
          <w:lang w:val="en-US"/>
        </w:rPr>
        <w:t>he SDM issue</w:t>
      </w:r>
      <w:r w:rsidR="003D0F52">
        <w:rPr>
          <w:lang w:val="en-US"/>
        </w:rPr>
        <w:t xml:space="preserve"> may be set-aside as</w:t>
      </w:r>
      <w:r>
        <w:rPr>
          <w:lang w:val="en-US"/>
        </w:rPr>
        <w:t xml:space="preserve"> the restriction on IAB MT to only transmit in the downlink partition of a TDD system</w:t>
      </w:r>
      <w:r w:rsidR="003D0F52">
        <w:rPr>
          <w:lang w:val="en-US"/>
        </w:rPr>
        <w:t xml:space="preserve"> does not require SDM. In fact, this restriction may be imposed on an IAB MT provided that the half-duplex constraint is maintained. Of course, the IAB MT TDD configuration would differ from the access TDD configuration per the resource allocation rules under consideration in RAN1. As such, restricting the </w:t>
      </w:r>
      <w:r>
        <w:rPr>
          <w:lang w:val="en-US"/>
        </w:rPr>
        <w:t xml:space="preserve">IAB MT transmissions to the </w:t>
      </w:r>
      <w:r w:rsidR="003D0F52">
        <w:rPr>
          <w:lang w:val="en-US"/>
        </w:rPr>
        <w:t xml:space="preserve">downlink </w:t>
      </w:r>
      <w:r>
        <w:rPr>
          <w:lang w:val="en-US"/>
        </w:rPr>
        <w:t>TDD partitions</w:t>
      </w:r>
      <w:r w:rsidR="00AD5F26">
        <w:rPr>
          <w:lang w:val="en-US"/>
        </w:rPr>
        <w:t xml:space="preserve"> seems a</w:t>
      </w:r>
      <w:r w:rsidR="00FC32C0">
        <w:rPr>
          <w:lang w:val="en-US"/>
        </w:rPr>
        <w:t>n</w:t>
      </w:r>
      <w:r w:rsidR="00AD5F26">
        <w:rPr>
          <w:lang w:val="en-US"/>
        </w:rPr>
        <w:t xml:space="preserve"> </w:t>
      </w:r>
      <w:r w:rsidR="003D0F52">
        <w:rPr>
          <w:lang w:val="en-US"/>
        </w:rPr>
        <w:t>interesting</w:t>
      </w:r>
      <w:r w:rsidR="00AD5F26">
        <w:rPr>
          <w:lang w:val="en-US"/>
        </w:rPr>
        <w:t xml:space="preserve"> scenario </w:t>
      </w:r>
      <w:r w:rsidR="00D72582">
        <w:rPr>
          <w:lang w:val="en-US"/>
        </w:rPr>
        <w:t xml:space="preserve">and </w:t>
      </w:r>
      <w:r w:rsidR="003D0F52">
        <w:rPr>
          <w:lang w:val="en-US"/>
        </w:rPr>
        <w:t>may provide</w:t>
      </w:r>
      <w:r w:rsidR="00AD5F26">
        <w:rPr>
          <w:lang w:val="en-US"/>
        </w:rPr>
        <w:t xml:space="preserve"> the lowest interference </w:t>
      </w:r>
      <w:r w:rsidR="003D0F52">
        <w:rPr>
          <w:lang w:val="en-US"/>
        </w:rPr>
        <w:t>to the victim network</w:t>
      </w:r>
      <w:r w:rsidR="00AD5F26">
        <w:rPr>
          <w:lang w:val="en-US"/>
        </w:rPr>
        <w:t>.</w:t>
      </w:r>
    </w:p>
    <w:p w14:paraId="444696DE" w14:textId="757FC44F" w:rsidR="00AD5F26" w:rsidRPr="00A7551B" w:rsidRDefault="00AD5F26" w:rsidP="00A94141">
      <w:pPr>
        <w:rPr>
          <w:b/>
          <w:lang w:val="en-US"/>
        </w:rPr>
      </w:pPr>
      <w:r w:rsidRPr="00A7551B">
        <w:rPr>
          <w:b/>
          <w:lang w:val="en-US"/>
        </w:rPr>
        <w:t xml:space="preserve">Proposal </w:t>
      </w:r>
      <w:r w:rsidR="00FC32C0">
        <w:rPr>
          <w:b/>
          <w:lang w:val="en-US"/>
        </w:rPr>
        <w:t>4</w:t>
      </w:r>
      <w:r w:rsidRPr="00A7551B">
        <w:rPr>
          <w:b/>
          <w:lang w:val="en-US"/>
        </w:rPr>
        <w:t xml:space="preserve">: In </w:t>
      </w:r>
      <w:r w:rsidR="000B0746" w:rsidRPr="00A7551B">
        <w:rPr>
          <w:b/>
          <w:lang w:val="en-US"/>
        </w:rPr>
        <w:t xml:space="preserve">a coordinated aggressor system, </w:t>
      </w:r>
      <w:r w:rsidR="00CC64E3">
        <w:rPr>
          <w:b/>
          <w:lang w:val="en-US"/>
        </w:rPr>
        <w:t>restrictions on the IAB MT should be investigated</w:t>
      </w:r>
      <w:r w:rsidR="000B0746" w:rsidRPr="00A7551B">
        <w:rPr>
          <w:b/>
          <w:lang w:val="en-US"/>
        </w:rPr>
        <w:t>.</w:t>
      </w:r>
    </w:p>
    <w:p w14:paraId="20D203D6" w14:textId="70EEC4F1" w:rsidR="00EF5428" w:rsidRDefault="00874B67" w:rsidP="00A94141">
      <w:pPr>
        <w:rPr>
          <w:lang w:val="en-US"/>
        </w:rPr>
      </w:pPr>
      <w:r>
        <w:rPr>
          <w:lang w:val="en-US"/>
        </w:rPr>
        <w:t>Dynamic TDD in both the victim and aggressor should also be considered. As RAN4 is now studying dynamic TDD for access systems it follows that IAB systems may also be implemented with dynamic TDD. When the victim and aggressor are both configured with dynamic TDD there is no restriction on the IAB MT.</w:t>
      </w:r>
    </w:p>
    <w:p w14:paraId="6A157573" w14:textId="13063FD9" w:rsidR="00874B67" w:rsidRPr="00A7551B" w:rsidRDefault="00874B67" w:rsidP="00A94141">
      <w:pPr>
        <w:rPr>
          <w:b/>
          <w:lang w:val="en-US"/>
        </w:rPr>
      </w:pPr>
      <w:r w:rsidRPr="00A7551B">
        <w:rPr>
          <w:b/>
          <w:lang w:val="en-US"/>
        </w:rPr>
        <w:t xml:space="preserve">Observation </w:t>
      </w:r>
      <w:r w:rsidR="00FC32C0">
        <w:rPr>
          <w:b/>
          <w:lang w:val="en-US"/>
        </w:rPr>
        <w:t>1</w:t>
      </w:r>
      <w:r w:rsidRPr="00A7551B">
        <w:rPr>
          <w:b/>
          <w:lang w:val="en-US"/>
        </w:rPr>
        <w:t>:  When the victim and aggressor are both configured with dynamic TDD there is no restriction on the IAB MT.</w:t>
      </w:r>
    </w:p>
    <w:p w14:paraId="38332941" w14:textId="60664FC8" w:rsidR="006E7C05" w:rsidRPr="00A7551B" w:rsidRDefault="006E7C05" w:rsidP="006E7C05">
      <w:pPr>
        <w:pStyle w:val="Heading3"/>
        <w:rPr>
          <w:lang w:val="en-US"/>
        </w:rPr>
      </w:pPr>
      <w:r w:rsidRPr="00A7551B">
        <w:rPr>
          <w:lang w:val="en-US"/>
        </w:rPr>
        <w:t xml:space="preserve">2.3 IAB scenarios – traffic model </w:t>
      </w:r>
    </w:p>
    <w:p w14:paraId="0381D8DB" w14:textId="71CC29B1" w:rsidR="007E72A4" w:rsidRDefault="006E7C05" w:rsidP="006E7C05">
      <w:pPr>
        <w:rPr>
          <w:lang w:val="en-US"/>
        </w:rPr>
      </w:pPr>
      <w:r w:rsidRPr="00A7551B">
        <w:rPr>
          <w:lang w:val="en-US"/>
        </w:rPr>
        <w:t xml:space="preserve">IAB-Nodes </w:t>
      </w:r>
      <w:r w:rsidR="007E72A4">
        <w:rPr>
          <w:lang w:val="en-US"/>
        </w:rPr>
        <w:t xml:space="preserve">make use of unused access resources to backhaul traffic from Donor Node to IAB Nodes over one or more wireless backhaul </w:t>
      </w:r>
      <w:r w:rsidR="007E72A4" w:rsidRPr="00F35EFA">
        <w:rPr>
          <w:lang w:val="en-US"/>
        </w:rPr>
        <w:t>hops.   Per [</w:t>
      </w:r>
      <w:r w:rsidR="003D0F52">
        <w:rPr>
          <w:lang w:val="en-US"/>
        </w:rPr>
        <w:t>2</w:t>
      </w:r>
      <w:r w:rsidR="007E72A4" w:rsidRPr="00F35EFA">
        <w:rPr>
          <w:lang w:val="en-US"/>
        </w:rPr>
        <w:t xml:space="preserve">], IAB nodes are </w:t>
      </w:r>
      <w:r w:rsidR="00F35EFA">
        <w:rPr>
          <w:lang w:val="en-US"/>
        </w:rPr>
        <w:t xml:space="preserve">not </w:t>
      </w:r>
      <w:r w:rsidR="007E72A4" w:rsidRPr="00F35EFA">
        <w:rPr>
          <w:lang w:val="en-US"/>
        </w:rPr>
        <w:t>required to simultaneous transmit and receive data.</w:t>
      </w:r>
      <w:r w:rsidR="007E72A4">
        <w:rPr>
          <w:lang w:val="en-US"/>
        </w:rPr>
        <w:t xml:space="preserve">   </w:t>
      </w:r>
      <w:r w:rsidR="003D0F52">
        <w:rPr>
          <w:lang w:val="en-US"/>
        </w:rPr>
        <w:t>Therefore,</w:t>
      </w:r>
      <w:r w:rsidR="007E72A4">
        <w:rPr>
          <w:lang w:val="en-US"/>
        </w:rPr>
        <w:t xml:space="preserve"> backhaul traffic represents only a fraction of the traffic within an IAB network. Moreover, the IAB node to IAB node transmission will likely make use of larger arrays </w:t>
      </w:r>
      <w:r w:rsidR="00FC32C0">
        <w:rPr>
          <w:lang w:val="en-US"/>
        </w:rPr>
        <w:t xml:space="preserve">than in UEs </w:t>
      </w:r>
      <w:r w:rsidR="007E72A4">
        <w:rPr>
          <w:lang w:val="en-US"/>
        </w:rPr>
        <w:t xml:space="preserve">thus making </w:t>
      </w:r>
      <w:r w:rsidR="003D0F52">
        <w:rPr>
          <w:lang w:val="en-US"/>
        </w:rPr>
        <w:t>backhaul links more</w:t>
      </w:r>
      <w:r w:rsidR="007E72A4">
        <w:rPr>
          <w:lang w:val="en-US"/>
        </w:rPr>
        <w:t xml:space="preserve"> spectral efficiency than access </w:t>
      </w:r>
      <w:r w:rsidR="003D0F52">
        <w:rPr>
          <w:lang w:val="en-US"/>
        </w:rPr>
        <w:t>links</w:t>
      </w:r>
      <w:r w:rsidR="007E72A4">
        <w:rPr>
          <w:lang w:val="en-US"/>
        </w:rPr>
        <w:t xml:space="preserve">.   As such, the faction of resources used for </w:t>
      </w:r>
      <w:proofErr w:type="gramStart"/>
      <w:r w:rsidR="007E72A4">
        <w:rPr>
          <w:lang w:val="en-US"/>
        </w:rPr>
        <w:t>backhaul</w:t>
      </w:r>
      <w:proofErr w:type="gramEnd"/>
      <w:r w:rsidR="007E72A4">
        <w:rPr>
          <w:lang w:val="en-US"/>
        </w:rPr>
        <w:t xml:space="preserve"> traffic will be less than the those used for access traffic.</w:t>
      </w:r>
    </w:p>
    <w:p w14:paraId="7E979624" w14:textId="61279BD6" w:rsidR="007E72A4" w:rsidRDefault="007E72A4" w:rsidP="006E7C05">
      <w:pPr>
        <w:rPr>
          <w:lang w:val="en-US"/>
        </w:rPr>
      </w:pPr>
      <w:r>
        <w:rPr>
          <w:lang w:val="en-US"/>
        </w:rPr>
        <w:t xml:space="preserve">Given the argument above full buffer traffic models are not appropriate for IAB modeling.  Full buffer access traffic is unrealistic as </w:t>
      </w:r>
      <w:r w:rsidR="003727BD">
        <w:rPr>
          <w:lang w:val="en-US"/>
        </w:rPr>
        <w:t xml:space="preserve">the access traffic alone will consume all the resources of the </w:t>
      </w:r>
      <w:proofErr w:type="spellStart"/>
      <w:r w:rsidR="003727BD">
        <w:rPr>
          <w:lang w:val="en-US"/>
        </w:rPr>
        <w:t>gNB</w:t>
      </w:r>
      <w:proofErr w:type="spellEnd"/>
      <w:r w:rsidR="003727BD">
        <w:rPr>
          <w:lang w:val="en-US"/>
        </w:rPr>
        <w:t xml:space="preserve"> leaving no slots left for backhauling.   Furthermore, full buffer or 100% </w:t>
      </w:r>
      <w:r w:rsidR="00327382">
        <w:rPr>
          <w:lang w:val="en-US"/>
        </w:rPr>
        <w:t>transmission probability</w:t>
      </w:r>
      <w:r w:rsidR="003727BD">
        <w:rPr>
          <w:lang w:val="en-US"/>
        </w:rPr>
        <w:t xml:space="preserve"> for IAB traffic is not realistic as the backhaul traffic will be transmitted at a higher spectral efficiency than access traffic</w:t>
      </w:r>
      <w:r w:rsidR="00FC32C0">
        <w:rPr>
          <w:lang w:val="en-US"/>
        </w:rPr>
        <w:t>,</w:t>
      </w:r>
      <w:r w:rsidR="003727BD">
        <w:rPr>
          <w:lang w:val="en-US"/>
        </w:rPr>
        <w:t xml:space="preserve"> taking fewer resources </w:t>
      </w:r>
    </w:p>
    <w:p w14:paraId="7098C465" w14:textId="6C8C68D4" w:rsidR="006E7C05" w:rsidRPr="00A7551B" w:rsidRDefault="006E7C05" w:rsidP="006E7C05">
      <w:pPr>
        <w:rPr>
          <w:lang w:val="en-US"/>
        </w:rPr>
      </w:pPr>
    </w:p>
    <w:p w14:paraId="3A85A569" w14:textId="6AC073C6" w:rsidR="003727BD" w:rsidRDefault="003727BD" w:rsidP="003727BD">
      <w:pPr>
        <w:rPr>
          <w:lang w:val="en-US"/>
        </w:rPr>
      </w:pPr>
      <w:r>
        <w:rPr>
          <w:lang w:val="en-US"/>
        </w:rPr>
        <w:t xml:space="preserve">Another characteristic of IAB networks is tree-like topology emanating from the donor node to the IAB nodes.   Traffic density at the branches and </w:t>
      </w:r>
      <w:proofErr w:type="spellStart"/>
      <w:r>
        <w:rPr>
          <w:lang w:val="en-US"/>
        </w:rPr>
        <w:t>leafs</w:t>
      </w:r>
      <w:proofErr w:type="spellEnd"/>
      <w:r>
        <w:rPr>
          <w:lang w:val="en-US"/>
        </w:rPr>
        <w:t xml:space="preserve"> of the tree will diminish as they are limited by the total capacity of the donor site (both backhaul and access).   Branches of the IAB tree will carry less traffic as they themselves represent a fraction of the donor node’s capacity.</w:t>
      </w:r>
      <w:r w:rsidR="00917BF3">
        <w:rPr>
          <w:lang w:val="en-US"/>
        </w:rPr>
        <w:t xml:space="preserve">  For example, IAB backhaul traffic may only consume 30% with access traffic consuming the other 30% of an IAB transceivers resources.   The remainder of the time the IAB transceiver would be idle. </w:t>
      </w:r>
    </w:p>
    <w:p w14:paraId="2FB34E81" w14:textId="40685E8A" w:rsidR="006E7C05" w:rsidRPr="00AA2180" w:rsidRDefault="006E7C05" w:rsidP="006E7C05">
      <w:pPr>
        <w:rPr>
          <w:b/>
          <w:lang w:val="en-US"/>
        </w:rPr>
      </w:pPr>
      <w:r w:rsidRPr="00C3538C">
        <w:rPr>
          <w:b/>
          <w:lang w:val="en-US"/>
        </w:rPr>
        <w:t xml:space="preserve">Proposal </w:t>
      </w:r>
      <w:r w:rsidR="00FC32C0" w:rsidRPr="00BB1D4A">
        <w:rPr>
          <w:b/>
          <w:lang w:val="en-US"/>
        </w:rPr>
        <w:t>5</w:t>
      </w:r>
      <w:r w:rsidRPr="00C3538C">
        <w:rPr>
          <w:b/>
          <w:lang w:val="en-US"/>
        </w:rPr>
        <w:t xml:space="preserve">: IAB-MT is </w:t>
      </w:r>
      <w:proofErr w:type="gramStart"/>
      <w:r w:rsidR="003D0F52" w:rsidRPr="00C3538C">
        <w:rPr>
          <w:b/>
          <w:lang w:val="en-US"/>
        </w:rPr>
        <w:t>transmits</w:t>
      </w:r>
      <w:proofErr w:type="gramEnd"/>
      <w:r w:rsidR="003D0F52" w:rsidRPr="00C3538C">
        <w:rPr>
          <w:b/>
          <w:lang w:val="en-US"/>
        </w:rPr>
        <w:t xml:space="preserve"> with a probability of 15%</w:t>
      </w:r>
      <w:r w:rsidRPr="00C3538C">
        <w:rPr>
          <w:b/>
          <w:lang w:val="en-US"/>
        </w:rPr>
        <w:t>.</w:t>
      </w:r>
    </w:p>
    <w:p w14:paraId="7D42392F" w14:textId="7EFFBC0E" w:rsidR="006E7C05" w:rsidRPr="00A7551B" w:rsidRDefault="00133C72" w:rsidP="006158E7">
      <w:pPr>
        <w:rPr>
          <w:b/>
          <w:lang w:val="en-US"/>
        </w:rPr>
      </w:pPr>
      <w:r w:rsidRPr="00AA2180">
        <w:rPr>
          <w:b/>
          <w:lang w:val="en-US"/>
        </w:rPr>
        <w:t xml:space="preserve">Proposal </w:t>
      </w:r>
      <w:r w:rsidR="00FC32C0" w:rsidRPr="00BB1D4A">
        <w:rPr>
          <w:b/>
          <w:lang w:val="en-US"/>
        </w:rPr>
        <w:t>6</w:t>
      </w:r>
      <w:r w:rsidRPr="00C3538C">
        <w:rPr>
          <w:b/>
          <w:lang w:val="en-US"/>
        </w:rPr>
        <w:t xml:space="preserve">: </w:t>
      </w:r>
      <w:proofErr w:type="spellStart"/>
      <w:r w:rsidRPr="00C3538C">
        <w:rPr>
          <w:b/>
          <w:lang w:val="en-US"/>
        </w:rPr>
        <w:t>Bursty</w:t>
      </w:r>
      <w:proofErr w:type="spellEnd"/>
      <w:r w:rsidRPr="00C3538C">
        <w:rPr>
          <w:b/>
          <w:lang w:val="en-US"/>
        </w:rPr>
        <w:t xml:space="preserve"> traffic model is used for IAB-MT transmissions.</w:t>
      </w:r>
    </w:p>
    <w:p w14:paraId="6F56BC1C" w14:textId="744F80AB" w:rsidR="00526D53" w:rsidRPr="00A7551B" w:rsidRDefault="00526D53" w:rsidP="00526D53">
      <w:pPr>
        <w:pStyle w:val="Heading3"/>
        <w:rPr>
          <w:lang w:val="en-US"/>
        </w:rPr>
      </w:pPr>
      <w:r w:rsidRPr="00A7551B">
        <w:rPr>
          <w:lang w:val="en-US"/>
        </w:rPr>
        <w:t>2.</w:t>
      </w:r>
      <w:r w:rsidR="00A94141" w:rsidRPr="00A7551B">
        <w:rPr>
          <w:lang w:val="en-US"/>
        </w:rPr>
        <w:t>4</w:t>
      </w:r>
      <w:r w:rsidRPr="00A7551B">
        <w:rPr>
          <w:lang w:val="en-US"/>
        </w:rPr>
        <w:t xml:space="preserve"> IAB scenarios – multi-hop operation </w:t>
      </w:r>
    </w:p>
    <w:p w14:paraId="10F2CD83" w14:textId="22389271" w:rsidR="00F832DE" w:rsidRPr="00A7551B" w:rsidRDefault="000D0627" w:rsidP="00F832DE">
      <w:pPr>
        <w:rPr>
          <w:lang w:val="en-US"/>
        </w:rPr>
      </w:pPr>
      <w:r w:rsidRPr="00A7551B">
        <w:rPr>
          <w:lang w:val="en-US"/>
        </w:rPr>
        <w:t>Network using IAB consists IAB-donor nodes, IAB-nodes and UEs served by the network nodes</w:t>
      </w:r>
      <w:r w:rsidR="006750A5" w:rsidRPr="00A7551B">
        <w:rPr>
          <w:lang w:val="en-US"/>
        </w:rPr>
        <w:t xml:space="preserve">. </w:t>
      </w:r>
      <w:r w:rsidR="00F832DE" w:rsidRPr="00A7551B">
        <w:rPr>
          <w:lang w:val="en-US"/>
        </w:rPr>
        <w:t>Physically, the network could look like in Figure 1.</w:t>
      </w:r>
    </w:p>
    <w:p w14:paraId="4DC2D7E1" w14:textId="77777777" w:rsidR="00F832DE" w:rsidRPr="0012676D" w:rsidRDefault="00F832DE" w:rsidP="00F832DE">
      <w:pPr>
        <w:jc w:val="center"/>
        <w:rPr>
          <w:lang w:val="en-US"/>
        </w:rPr>
      </w:pPr>
      <w:r w:rsidRPr="0012676D">
        <w:rPr>
          <w:noProof/>
          <w:lang w:val="en-US"/>
        </w:rPr>
        <w:drawing>
          <wp:inline distT="0" distB="0" distL="0" distR="0" wp14:anchorId="443596EA" wp14:editId="56EB737C">
            <wp:extent cx="2838450" cy="1908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8450" cy="1908175"/>
                    </a:xfrm>
                    <a:prstGeom prst="rect">
                      <a:avLst/>
                    </a:prstGeom>
                    <a:noFill/>
                    <a:ln>
                      <a:noFill/>
                    </a:ln>
                  </pic:spPr>
                </pic:pic>
              </a:graphicData>
            </a:graphic>
          </wp:inline>
        </w:drawing>
      </w:r>
    </w:p>
    <w:p w14:paraId="7000F280" w14:textId="282D5862" w:rsidR="00F832DE" w:rsidRPr="0012676D" w:rsidRDefault="00F832DE" w:rsidP="00F832DE">
      <w:pPr>
        <w:jc w:val="center"/>
        <w:rPr>
          <w:b/>
          <w:lang w:val="en-US"/>
        </w:rPr>
      </w:pPr>
      <w:r w:rsidRPr="0012676D">
        <w:rPr>
          <w:b/>
          <w:lang w:val="en-US"/>
        </w:rPr>
        <w:t>Figure 1: Donor, two IAB-nodes and UEs in a network.</w:t>
      </w:r>
    </w:p>
    <w:p w14:paraId="471A8127" w14:textId="7A7EFCC4" w:rsidR="00870507" w:rsidRPr="0012676D" w:rsidRDefault="00870507" w:rsidP="006750A5">
      <w:pPr>
        <w:rPr>
          <w:lang w:val="en-US"/>
        </w:rPr>
      </w:pPr>
      <w:r w:rsidRPr="0012676D">
        <w:rPr>
          <w:lang w:val="en-US"/>
        </w:rPr>
        <w:t xml:space="preserve">It is also possible that IAB-nodes provide access multiple hops away from the donor. In such case parent IAB-Node transmits data to child IAB-Node, which again has the options to either serve UEs via the access link or send the data further to another child IAB-Node via the backhaul link. </w:t>
      </w:r>
      <w:r w:rsidR="00526D53" w:rsidRPr="0012676D">
        <w:rPr>
          <w:lang w:val="en-US"/>
        </w:rPr>
        <w:t>When it comes to the backhaul link operation, there is no difference whether IAB-node communicates with another IAB-Node or an IAB-Donor.</w:t>
      </w:r>
    </w:p>
    <w:p w14:paraId="782C025A" w14:textId="33DE62D1" w:rsidR="00870507" w:rsidRPr="00C3538C" w:rsidRDefault="00870507" w:rsidP="006750A5">
      <w:pPr>
        <w:rPr>
          <w:b/>
          <w:lang w:val="en-US"/>
        </w:rPr>
      </w:pPr>
      <w:r w:rsidRPr="00C3538C">
        <w:rPr>
          <w:b/>
          <w:lang w:val="en-US"/>
        </w:rPr>
        <w:t xml:space="preserve">Observation </w:t>
      </w:r>
      <w:r w:rsidR="00FC32C0" w:rsidRPr="00BB1D4A">
        <w:rPr>
          <w:b/>
          <w:lang w:val="en-US"/>
        </w:rPr>
        <w:t>2</w:t>
      </w:r>
      <w:r w:rsidRPr="00C3538C">
        <w:rPr>
          <w:b/>
          <w:lang w:val="en-US"/>
        </w:rPr>
        <w:t>: Donor to IAB-Node and parent IAB-node to child IAB-node transmissions are similar</w:t>
      </w:r>
      <w:r w:rsidR="00526D53" w:rsidRPr="00C3538C">
        <w:rPr>
          <w:b/>
          <w:lang w:val="en-US"/>
        </w:rPr>
        <w:t xml:space="preserve">. </w:t>
      </w:r>
    </w:p>
    <w:p w14:paraId="21BFE747" w14:textId="7581BDF8" w:rsidR="00526D53" w:rsidRPr="00C3538C" w:rsidRDefault="00526D53" w:rsidP="006750A5">
      <w:pPr>
        <w:rPr>
          <w:b/>
          <w:lang w:val="en-US"/>
        </w:rPr>
      </w:pPr>
      <w:r w:rsidRPr="00AA2180">
        <w:rPr>
          <w:b/>
          <w:lang w:val="en-US"/>
        </w:rPr>
        <w:t xml:space="preserve">Observation </w:t>
      </w:r>
      <w:r w:rsidR="00FC32C0" w:rsidRPr="00BB1D4A">
        <w:rPr>
          <w:b/>
          <w:lang w:val="en-US"/>
        </w:rPr>
        <w:t>3</w:t>
      </w:r>
      <w:r w:rsidRPr="00C3538C">
        <w:rPr>
          <w:b/>
          <w:lang w:val="en-US"/>
        </w:rPr>
        <w:t xml:space="preserve">: Child IAB-Node to parent IAB-node and child IAB-node to IAB-Donor transmission are similar. </w:t>
      </w:r>
    </w:p>
    <w:p w14:paraId="0A12C7B8" w14:textId="59D4AC78" w:rsidR="00526D53" w:rsidRPr="00FC32C0" w:rsidRDefault="00526D53" w:rsidP="006750A5">
      <w:pPr>
        <w:rPr>
          <w:lang w:val="en-US"/>
        </w:rPr>
      </w:pPr>
      <w:proofErr w:type="gramStart"/>
      <w:r w:rsidRPr="00AA2180">
        <w:rPr>
          <w:lang w:val="en-US"/>
        </w:rPr>
        <w:t>As long as</w:t>
      </w:r>
      <w:proofErr w:type="gramEnd"/>
      <w:r w:rsidRPr="00AA2180">
        <w:rPr>
          <w:lang w:val="en-US"/>
        </w:rPr>
        <w:t xml:space="preserve"> the network parameters, such as density and height of the Nodes, their transmission power and antenna configuration are similar between IAB-Node and donor, multi-hop operation does not need to be considered separately in RF coexistence study. </w:t>
      </w:r>
    </w:p>
    <w:p w14:paraId="4D601C48" w14:textId="0D61CF54" w:rsidR="00526D53" w:rsidRPr="0012676D" w:rsidRDefault="00526D53" w:rsidP="006750A5">
      <w:pPr>
        <w:rPr>
          <w:b/>
          <w:lang w:val="en-US"/>
        </w:rPr>
      </w:pPr>
      <w:r w:rsidRPr="00FC32C0">
        <w:rPr>
          <w:b/>
          <w:lang w:val="en-US"/>
        </w:rPr>
        <w:t xml:space="preserve">Proposal </w:t>
      </w:r>
      <w:r w:rsidR="00FC32C0" w:rsidRPr="00BB1D4A">
        <w:rPr>
          <w:b/>
          <w:lang w:val="en-US"/>
        </w:rPr>
        <w:t>7</w:t>
      </w:r>
      <w:r w:rsidRPr="00C3538C">
        <w:rPr>
          <w:b/>
          <w:lang w:val="en-US"/>
        </w:rPr>
        <w:t xml:space="preserve">: No multi-hop scenario needs to be simulated, </w:t>
      </w:r>
      <w:proofErr w:type="gramStart"/>
      <w:r w:rsidRPr="00C3538C">
        <w:rPr>
          <w:b/>
          <w:lang w:val="en-US"/>
        </w:rPr>
        <w:t>as long as</w:t>
      </w:r>
      <w:proofErr w:type="gramEnd"/>
      <w:r w:rsidRPr="00C3538C">
        <w:rPr>
          <w:b/>
          <w:lang w:val="en-US"/>
        </w:rPr>
        <w:t xml:space="preserve"> IAB-donor and IAB-DU parameters are sufficiently similar.</w:t>
      </w:r>
    </w:p>
    <w:p w14:paraId="7DC0B586" w14:textId="38739A66" w:rsidR="00511C6C" w:rsidRPr="0012676D" w:rsidRDefault="00511C6C" w:rsidP="00511C6C">
      <w:pPr>
        <w:pStyle w:val="Heading3"/>
        <w:rPr>
          <w:lang w:val="en-US"/>
        </w:rPr>
      </w:pPr>
      <w:r w:rsidRPr="0012676D">
        <w:rPr>
          <w:lang w:val="en-US"/>
        </w:rPr>
        <w:t>2.</w:t>
      </w:r>
      <w:r w:rsidR="00A94141" w:rsidRPr="0012676D">
        <w:rPr>
          <w:lang w:val="en-US"/>
        </w:rPr>
        <w:t>5</w:t>
      </w:r>
      <w:r w:rsidRPr="0012676D">
        <w:rPr>
          <w:lang w:val="en-US"/>
        </w:rPr>
        <w:t xml:space="preserve"> IAB-MT RF parameters</w:t>
      </w:r>
    </w:p>
    <w:p w14:paraId="2A42E10D" w14:textId="7C5B8348" w:rsidR="0051347A" w:rsidRDefault="0051347A" w:rsidP="0051347A">
      <w:pPr>
        <w:rPr>
          <w:lang w:val="en-US"/>
        </w:rPr>
      </w:pPr>
      <w:r w:rsidRPr="0012676D">
        <w:rPr>
          <w:lang w:val="en-US"/>
        </w:rPr>
        <w:t>Based on the discussion above, parameters</w:t>
      </w:r>
      <w:r w:rsidR="00C3538C">
        <w:rPr>
          <w:lang w:val="en-US"/>
        </w:rPr>
        <w:t xml:space="preserve"> in Table 2</w:t>
      </w:r>
      <w:r w:rsidRPr="0012676D">
        <w:rPr>
          <w:lang w:val="en-US"/>
        </w:rPr>
        <w:t xml:space="preserve"> are proposed to be used for IAB backhaul network</w:t>
      </w:r>
      <w:r w:rsidR="008B13EE" w:rsidRPr="0012676D">
        <w:rPr>
          <w:lang w:val="en-US"/>
        </w:rPr>
        <w:t xml:space="preserve"> and 5G access network</w:t>
      </w:r>
      <w:r w:rsidRPr="0012676D">
        <w:rPr>
          <w:lang w:val="en-US"/>
        </w:rPr>
        <w:t>.</w:t>
      </w:r>
    </w:p>
    <w:p w14:paraId="725158F5" w14:textId="78A98196" w:rsidR="00C3538C" w:rsidRPr="00BB1D4A" w:rsidRDefault="00C3538C" w:rsidP="0051347A">
      <w:pPr>
        <w:rPr>
          <w:b/>
          <w:lang w:val="en-US"/>
        </w:rPr>
      </w:pPr>
      <w:r w:rsidRPr="00BB1D4A">
        <w:rPr>
          <w:b/>
          <w:lang w:val="en-US"/>
        </w:rPr>
        <w:t>Proposal 8: Consider parameters in Table 2 to be used in RF co-existence study</w:t>
      </w:r>
    </w:p>
    <w:p w14:paraId="5480915A" w14:textId="155CEDC9" w:rsidR="00C3538C" w:rsidRPr="00BB1D4A" w:rsidRDefault="00C3538C" w:rsidP="00BB1D4A">
      <w:pPr>
        <w:jc w:val="center"/>
        <w:rPr>
          <w:b/>
          <w:lang w:val="en-US"/>
        </w:rPr>
      </w:pPr>
      <w:r w:rsidRPr="00BB1D4A">
        <w:rPr>
          <w:b/>
          <w:lang w:val="en-US"/>
        </w:rPr>
        <w:t>Table 2: Aggressor and victim network parameters</w:t>
      </w:r>
    </w:p>
    <w:tbl>
      <w:tblPr>
        <w:tblW w:w="96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63"/>
        <w:gridCol w:w="2410"/>
        <w:gridCol w:w="2319"/>
        <w:gridCol w:w="2637"/>
      </w:tblGrid>
      <w:tr w:rsidR="00133C72" w:rsidRPr="00384AB3" w14:paraId="66F3AFA7" w14:textId="77777777" w:rsidTr="008B13EE">
        <w:trPr>
          <w:trHeight w:val="439"/>
          <w:jc w:val="right"/>
        </w:trPr>
        <w:tc>
          <w:tcPr>
            <w:tcW w:w="4673" w:type="dxa"/>
            <w:gridSpan w:val="2"/>
          </w:tcPr>
          <w:p w14:paraId="5B40475D" w14:textId="38A5946D" w:rsidR="00133C72" w:rsidRPr="0012676D" w:rsidRDefault="00133C72" w:rsidP="003B17A5">
            <w:pPr>
              <w:overflowPunct/>
              <w:autoSpaceDE/>
              <w:autoSpaceDN/>
              <w:adjustRightInd/>
              <w:spacing w:after="0"/>
              <w:jc w:val="center"/>
              <w:textAlignment w:val="auto"/>
              <w:rPr>
                <w:rFonts w:ascii="Calibri" w:hAnsi="Calibri" w:cs="Calibri"/>
                <w:b/>
                <w:bCs/>
                <w:kern w:val="24"/>
                <w:sz w:val="22"/>
                <w:szCs w:val="22"/>
                <w:lang w:val="en-US" w:eastAsia="fi-FI"/>
              </w:rPr>
            </w:pPr>
            <w:r w:rsidRPr="0012676D">
              <w:rPr>
                <w:rFonts w:ascii="Calibri" w:hAnsi="Calibri" w:cs="Calibri"/>
                <w:b/>
                <w:bCs/>
                <w:kern w:val="24"/>
                <w:sz w:val="22"/>
                <w:szCs w:val="22"/>
                <w:lang w:val="en-US" w:eastAsia="fi-FI"/>
              </w:rPr>
              <w:t>Victim Network Parameters (5G access network)</w:t>
            </w:r>
          </w:p>
        </w:tc>
        <w:tc>
          <w:tcPr>
            <w:tcW w:w="4956" w:type="dxa"/>
            <w:gridSpan w:val="2"/>
            <w:shd w:val="clear" w:color="auto" w:fill="auto"/>
            <w:tcMar>
              <w:top w:w="72" w:type="dxa"/>
              <w:left w:w="144" w:type="dxa"/>
              <w:bottom w:w="72" w:type="dxa"/>
              <w:right w:w="144" w:type="dxa"/>
            </w:tcMar>
            <w:hideMark/>
          </w:tcPr>
          <w:p w14:paraId="43246997" w14:textId="4E84E489" w:rsidR="00133C72" w:rsidRPr="0012676D" w:rsidRDefault="00133C72" w:rsidP="003B17A5">
            <w:pPr>
              <w:overflowPunct/>
              <w:autoSpaceDE/>
              <w:autoSpaceDN/>
              <w:adjustRightInd/>
              <w:spacing w:after="0"/>
              <w:jc w:val="center"/>
              <w:textAlignment w:val="auto"/>
              <w:rPr>
                <w:rFonts w:ascii="Arial" w:hAnsi="Arial" w:cs="Arial"/>
                <w:sz w:val="36"/>
                <w:szCs w:val="36"/>
                <w:lang w:val="en-US" w:eastAsia="fi-FI"/>
              </w:rPr>
            </w:pPr>
            <w:r w:rsidRPr="0012676D">
              <w:rPr>
                <w:rFonts w:ascii="Calibri" w:hAnsi="Calibri" w:cs="Calibri"/>
                <w:b/>
                <w:bCs/>
                <w:kern w:val="24"/>
                <w:sz w:val="22"/>
                <w:szCs w:val="22"/>
                <w:lang w:val="en-US" w:eastAsia="fi-FI"/>
              </w:rPr>
              <w:t>Aggressor Network Parameters (IAB backhaul network)</w:t>
            </w:r>
          </w:p>
        </w:tc>
      </w:tr>
      <w:tr w:rsidR="00133C72" w:rsidRPr="00384AB3" w14:paraId="33EC1FDA" w14:textId="77777777" w:rsidTr="008B13EE">
        <w:trPr>
          <w:trHeight w:val="1424"/>
          <w:jc w:val="right"/>
        </w:trPr>
        <w:tc>
          <w:tcPr>
            <w:tcW w:w="2263" w:type="dxa"/>
          </w:tcPr>
          <w:p w14:paraId="29045AF7" w14:textId="5C164762"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lastRenderedPageBreak/>
              <w:t>Layout</w:t>
            </w:r>
          </w:p>
        </w:tc>
        <w:tc>
          <w:tcPr>
            <w:tcW w:w="2410" w:type="dxa"/>
          </w:tcPr>
          <w:p w14:paraId="1A0B6298" w14:textId="67656CB4" w:rsidR="00133C72" w:rsidRPr="00A7551B" w:rsidRDefault="00133C72" w:rsidP="008B13EE">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Based on Dense urban scenario from [4</w:t>
            </w:r>
            <w:proofErr w:type="gramStart"/>
            <w:r w:rsidRPr="00A7551B">
              <w:rPr>
                <w:rFonts w:ascii="Calibri" w:hAnsi="Calibri" w:cs="Calibri"/>
                <w:kern w:val="24"/>
                <w:sz w:val="16"/>
                <w:szCs w:val="16"/>
                <w:lang w:val="en-US" w:eastAsia="fi-FI"/>
              </w:rPr>
              <w:t>] </w:t>
            </w:r>
            <w:r w:rsidR="00BF2FFF">
              <w:rPr>
                <w:rFonts w:ascii="Calibri" w:hAnsi="Calibri" w:cs="Calibri"/>
                <w:kern w:val="24"/>
                <w:sz w:val="16"/>
                <w:szCs w:val="16"/>
                <w:lang w:val="en-US" w:eastAsia="fi-FI"/>
              </w:rPr>
              <w:t xml:space="preserve"> or</w:t>
            </w:r>
            <w:proofErr w:type="gramEnd"/>
            <w:r w:rsidR="00BF2FFF">
              <w:rPr>
                <w:rFonts w:ascii="Calibri" w:hAnsi="Calibri" w:cs="Calibri"/>
                <w:kern w:val="24"/>
                <w:sz w:val="16"/>
                <w:szCs w:val="16"/>
                <w:lang w:val="en-US" w:eastAsia="fi-FI"/>
              </w:rPr>
              <w:t xml:space="preserve"> homogenous micro layer</w:t>
            </w:r>
          </w:p>
          <w:p w14:paraId="0566D873" w14:textId="41D22601" w:rsidR="00133C72" w:rsidRPr="00A7551B" w:rsidRDefault="00133C72" w:rsidP="008B13EE">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 </w:t>
            </w:r>
          </w:p>
        </w:tc>
        <w:tc>
          <w:tcPr>
            <w:tcW w:w="2319" w:type="dxa"/>
            <w:shd w:val="clear" w:color="auto" w:fill="auto"/>
            <w:tcMar>
              <w:top w:w="15" w:type="dxa"/>
              <w:left w:w="61" w:type="dxa"/>
              <w:bottom w:w="0" w:type="dxa"/>
              <w:right w:w="61" w:type="dxa"/>
            </w:tcMar>
            <w:hideMark/>
          </w:tcPr>
          <w:p w14:paraId="2DA685CA" w14:textId="4BFEB4B1"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Layout</w:t>
            </w:r>
          </w:p>
        </w:tc>
        <w:tc>
          <w:tcPr>
            <w:tcW w:w="2637" w:type="dxa"/>
            <w:shd w:val="clear" w:color="auto" w:fill="auto"/>
            <w:tcMar>
              <w:top w:w="15" w:type="dxa"/>
              <w:left w:w="61" w:type="dxa"/>
              <w:bottom w:w="0" w:type="dxa"/>
              <w:right w:w="61" w:type="dxa"/>
            </w:tcMar>
            <w:hideMark/>
          </w:tcPr>
          <w:p w14:paraId="142D964F" w14:textId="23D5E8F5"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Based on Dense urban scenario from [4]</w:t>
            </w:r>
            <w:r w:rsidR="00BF2FFF">
              <w:rPr>
                <w:rFonts w:ascii="Calibri" w:hAnsi="Calibri" w:cs="Calibri"/>
                <w:kern w:val="24"/>
                <w:sz w:val="16"/>
                <w:szCs w:val="16"/>
                <w:lang w:val="en-US" w:eastAsia="fi-FI"/>
              </w:rPr>
              <w:t xml:space="preserve"> or homogenous micro layer</w:t>
            </w:r>
          </w:p>
        </w:tc>
      </w:tr>
      <w:tr w:rsidR="00133C72" w:rsidRPr="00384AB3" w14:paraId="2B768C8E" w14:textId="77777777" w:rsidTr="008B13EE">
        <w:trPr>
          <w:trHeight w:val="439"/>
          <w:jc w:val="right"/>
        </w:trPr>
        <w:tc>
          <w:tcPr>
            <w:tcW w:w="2263" w:type="dxa"/>
          </w:tcPr>
          <w:p w14:paraId="701671CF" w14:textId="5DBD56D6"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Wrap-around</w:t>
            </w:r>
          </w:p>
        </w:tc>
        <w:tc>
          <w:tcPr>
            <w:tcW w:w="2410" w:type="dxa"/>
          </w:tcPr>
          <w:p w14:paraId="39B93983" w14:textId="7E0ED08B" w:rsidR="00133C72" w:rsidRPr="00A7551B" w:rsidRDefault="00582FA5" w:rsidP="00133C72">
            <w:pPr>
              <w:overflowPunct/>
              <w:autoSpaceDE/>
              <w:autoSpaceDN/>
              <w:adjustRightInd/>
              <w:spacing w:after="0"/>
              <w:textAlignment w:val="auto"/>
              <w:rPr>
                <w:rFonts w:ascii="Calibri" w:hAnsi="Calibri" w:cs="Calibri"/>
                <w:kern w:val="24"/>
                <w:sz w:val="16"/>
                <w:szCs w:val="16"/>
                <w:lang w:val="en-US" w:eastAsia="fi-FI"/>
              </w:rPr>
            </w:pPr>
            <w:r>
              <w:rPr>
                <w:rFonts w:ascii="Calibri" w:hAnsi="Calibri" w:cs="Calibri"/>
                <w:kern w:val="24"/>
                <w:sz w:val="16"/>
                <w:szCs w:val="16"/>
                <w:lang w:val="en-US" w:eastAsia="fi-FI"/>
              </w:rPr>
              <w:t>Not required</w:t>
            </w:r>
          </w:p>
        </w:tc>
        <w:tc>
          <w:tcPr>
            <w:tcW w:w="2319" w:type="dxa"/>
            <w:shd w:val="clear" w:color="auto" w:fill="auto"/>
            <w:tcMar>
              <w:top w:w="15" w:type="dxa"/>
              <w:left w:w="61" w:type="dxa"/>
              <w:bottom w:w="0" w:type="dxa"/>
              <w:right w:w="61" w:type="dxa"/>
            </w:tcMar>
            <w:hideMark/>
          </w:tcPr>
          <w:p w14:paraId="048ECF28" w14:textId="558A67B4"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Wrap-around</w:t>
            </w:r>
          </w:p>
        </w:tc>
        <w:tc>
          <w:tcPr>
            <w:tcW w:w="2637" w:type="dxa"/>
            <w:shd w:val="clear" w:color="auto" w:fill="auto"/>
            <w:tcMar>
              <w:top w:w="15" w:type="dxa"/>
              <w:left w:w="61" w:type="dxa"/>
              <w:bottom w:w="0" w:type="dxa"/>
              <w:right w:w="61" w:type="dxa"/>
            </w:tcMar>
            <w:hideMark/>
          </w:tcPr>
          <w:p w14:paraId="75ADE6A7" w14:textId="19636394" w:rsidR="00133C72" w:rsidRPr="00A7551B" w:rsidRDefault="00582FA5" w:rsidP="00133C72">
            <w:pPr>
              <w:overflowPunct/>
              <w:autoSpaceDE/>
              <w:autoSpaceDN/>
              <w:adjustRightInd/>
              <w:spacing w:after="0"/>
              <w:textAlignment w:val="auto"/>
              <w:rPr>
                <w:rFonts w:ascii="Arial" w:hAnsi="Arial" w:cs="Arial"/>
                <w:sz w:val="36"/>
                <w:szCs w:val="36"/>
                <w:lang w:val="en-US" w:eastAsia="fi-FI"/>
              </w:rPr>
            </w:pPr>
            <w:r>
              <w:rPr>
                <w:rFonts w:ascii="Calibri" w:hAnsi="Calibri" w:cs="Calibri"/>
                <w:kern w:val="24"/>
                <w:sz w:val="16"/>
                <w:szCs w:val="16"/>
                <w:lang w:val="en-US" w:eastAsia="fi-FI"/>
              </w:rPr>
              <w:t>Not required</w:t>
            </w:r>
          </w:p>
        </w:tc>
      </w:tr>
      <w:tr w:rsidR="008B13EE" w:rsidRPr="00384AB3" w14:paraId="0D82959A" w14:textId="77777777" w:rsidTr="008B13EE">
        <w:trPr>
          <w:trHeight w:val="439"/>
          <w:jc w:val="right"/>
        </w:trPr>
        <w:tc>
          <w:tcPr>
            <w:tcW w:w="2263" w:type="dxa"/>
          </w:tcPr>
          <w:p w14:paraId="62B3444E" w14:textId="14EFDAA4" w:rsidR="008B13EE" w:rsidRPr="00A7551B" w:rsidDel="0051347A" w:rsidRDefault="008B13EE" w:rsidP="008B13EE">
            <w:pPr>
              <w:overflowPunct/>
              <w:autoSpaceDE/>
              <w:autoSpaceDN/>
              <w:adjustRightInd/>
              <w:spacing w:after="0"/>
              <w:textAlignment w:val="auto"/>
              <w:rPr>
                <w:rFonts w:ascii="Calibri" w:hAnsi="Calibri" w:cs="Calibri"/>
                <w:b/>
                <w:bCs/>
                <w:kern w:val="24"/>
                <w:sz w:val="16"/>
                <w:szCs w:val="16"/>
                <w:lang w:val="en-US" w:eastAsia="fi-FI"/>
              </w:rPr>
            </w:pPr>
            <w:proofErr w:type="spellStart"/>
            <w:r w:rsidRPr="00A7551B">
              <w:rPr>
                <w:rFonts w:ascii="Calibri" w:hAnsi="Calibri" w:cs="Calibri"/>
                <w:b/>
                <w:bCs/>
                <w:kern w:val="24"/>
                <w:sz w:val="16"/>
                <w:szCs w:val="16"/>
                <w:lang w:val="en-US" w:eastAsia="fi-FI"/>
              </w:rPr>
              <w:t>Minimun</w:t>
            </w:r>
            <w:proofErr w:type="spellEnd"/>
            <w:r w:rsidRPr="00A7551B">
              <w:rPr>
                <w:rFonts w:ascii="Calibri" w:hAnsi="Calibri" w:cs="Calibri"/>
                <w:b/>
                <w:bCs/>
                <w:kern w:val="24"/>
                <w:sz w:val="16"/>
                <w:szCs w:val="16"/>
                <w:lang w:val="en-US" w:eastAsia="fi-FI"/>
              </w:rPr>
              <w:t xml:space="preserve"> distance between IAB-Node and victim BS</w:t>
            </w:r>
          </w:p>
        </w:tc>
        <w:tc>
          <w:tcPr>
            <w:tcW w:w="2410" w:type="dxa"/>
          </w:tcPr>
          <w:p w14:paraId="5CE8E916" w14:textId="50A3900E" w:rsidR="008B13EE" w:rsidRPr="00A7551B" w:rsidDel="0051347A" w:rsidRDefault="008B13EE" w:rsidP="008B13EE">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20 m</w:t>
            </w:r>
          </w:p>
        </w:tc>
        <w:tc>
          <w:tcPr>
            <w:tcW w:w="2319" w:type="dxa"/>
            <w:shd w:val="clear" w:color="auto" w:fill="auto"/>
            <w:tcMar>
              <w:top w:w="15" w:type="dxa"/>
              <w:left w:w="61" w:type="dxa"/>
              <w:bottom w:w="0" w:type="dxa"/>
              <w:right w:w="61" w:type="dxa"/>
            </w:tcMar>
            <w:hideMark/>
          </w:tcPr>
          <w:p w14:paraId="7DFAEF09" w14:textId="2C70EB4D" w:rsidR="008B13EE" w:rsidRPr="00A7551B" w:rsidRDefault="008B13EE" w:rsidP="008B13EE">
            <w:pPr>
              <w:overflowPunct/>
              <w:autoSpaceDE/>
              <w:autoSpaceDN/>
              <w:adjustRightInd/>
              <w:spacing w:after="0"/>
              <w:textAlignment w:val="auto"/>
              <w:rPr>
                <w:rFonts w:ascii="Arial" w:hAnsi="Arial" w:cs="Arial"/>
                <w:sz w:val="36"/>
                <w:szCs w:val="36"/>
                <w:lang w:val="en-US" w:eastAsia="fi-FI"/>
              </w:rPr>
            </w:pPr>
            <w:proofErr w:type="spellStart"/>
            <w:r w:rsidRPr="00A7551B">
              <w:rPr>
                <w:rFonts w:ascii="Calibri" w:hAnsi="Calibri" w:cs="Calibri"/>
                <w:b/>
                <w:bCs/>
                <w:kern w:val="24"/>
                <w:sz w:val="16"/>
                <w:szCs w:val="16"/>
                <w:lang w:val="en-US" w:eastAsia="fi-FI"/>
              </w:rPr>
              <w:t>Minimun</w:t>
            </w:r>
            <w:proofErr w:type="spellEnd"/>
            <w:r w:rsidRPr="00A7551B">
              <w:rPr>
                <w:rFonts w:ascii="Calibri" w:hAnsi="Calibri" w:cs="Calibri"/>
                <w:b/>
                <w:bCs/>
                <w:kern w:val="24"/>
                <w:sz w:val="16"/>
                <w:szCs w:val="16"/>
                <w:lang w:val="en-US" w:eastAsia="fi-FI"/>
              </w:rPr>
              <w:t xml:space="preserve"> distance between IAB-Node and victim BS</w:t>
            </w:r>
          </w:p>
        </w:tc>
        <w:tc>
          <w:tcPr>
            <w:tcW w:w="2637" w:type="dxa"/>
            <w:shd w:val="clear" w:color="auto" w:fill="auto"/>
            <w:tcMar>
              <w:top w:w="15" w:type="dxa"/>
              <w:left w:w="61" w:type="dxa"/>
              <w:bottom w:w="0" w:type="dxa"/>
              <w:right w:w="61" w:type="dxa"/>
            </w:tcMar>
            <w:hideMark/>
          </w:tcPr>
          <w:p w14:paraId="1EB1291A" w14:textId="02FFB720" w:rsidR="008B13EE" w:rsidRPr="00A7551B" w:rsidRDefault="008B13EE" w:rsidP="008B13EE">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20 m</w:t>
            </w:r>
          </w:p>
        </w:tc>
      </w:tr>
      <w:tr w:rsidR="00133C72" w:rsidRPr="00384AB3" w14:paraId="77D11148" w14:textId="77777777" w:rsidTr="008B13EE">
        <w:trPr>
          <w:trHeight w:val="439"/>
          <w:jc w:val="right"/>
        </w:trPr>
        <w:tc>
          <w:tcPr>
            <w:tcW w:w="2263" w:type="dxa"/>
          </w:tcPr>
          <w:p w14:paraId="30CEF813" w14:textId="34EF8319"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Topology formation</w:t>
            </w:r>
          </w:p>
        </w:tc>
        <w:tc>
          <w:tcPr>
            <w:tcW w:w="2410" w:type="dxa"/>
          </w:tcPr>
          <w:p w14:paraId="13E4D99F" w14:textId="200511EB" w:rsidR="00133C72" w:rsidRPr="00A7551B" w:rsidRDefault="00133C72"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N.A.</w:t>
            </w:r>
          </w:p>
        </w:tc>
        <w:tc>
          <w:tcPr>
            <w:tcW w:w="2319" w:type="dxa"/>
            <w:shd w:val="clear" w:color="auto" w:fill="auto"/>
            <w:tcMar>
              <w:top w:w="15" w:type="dxa"/>
              <w:left w:w="61" w:type="dxa"/>
              <w:bottom w:w="0" w:type="dxa"/>
              <w:right w:w="61" w:type="dxa"/>
            </w:tcMar>
            <w:hideMark/>
          </w:tcPr>
          <w:p w14:paraId="65B1EF8A" w14:textId="6E42CDFA"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Topology formation</w:t>
            </w:r>
          </w:p>
        </w:tc>
        <w:tc>
          <w:tcPr>
            <w:tcW w:w="2637" w:type="dxa"/>
            <w:shd w:val="clear" w:color="auto" w:fill="auto"/>
            <w:tcMar>
              <w:top w:w="15" w:type="dxa"/>
              <w:left w:w="61" w:type="dxa"/>
              <w:bottom w:w="0" w:type="dxa"/>
              <w:right w:w="61" w:type="dxa"/>
            </w:tcMar>
            <w:hideMark/>
          </w:tcPr>
          <w:p w14:paraId="763F5C9E" w14:textId="77777777"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Parent-node RSRP as input to the IAB-node parent-node selection.</w:t>
            </w:r>
          </w:p>
        </w:tc>
      </w:tr>
      <w:tr w:rsidR="00133C72" w:rsidRPr="00384AB3" w14:paraId="6D1D24F8" w14:textId="77777777" w:rsidTr="008B13EE">
        <w:trPr>
          <w:trHeight w:val="439"/>
          <w:jc w:val="right"/>
        </w:trPr>
        <w:tc>
          <w:tcPr>
            <w:tcW w:w="2263" w:type="dxa"/>
          </w:tcPr>
          <w:p w14:paraId="6932AB9A" w14:textId="6385304B"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 xml:space="preserve">Carrier frequency </w:t>
            </w:r>
          </w:p>
        </w:tc>
        <w:tc>
          <w:tcPr>
            <w:tcW w:w="2410" w:type="dxa"/>
          </w:tcPr>
          <w:p w14:paraId="6005C246" w14:textId="7D8D2841" w:rsidR="00133C72" w:rsidRPr="00A7551B" w:rsidRDefault="00133C72"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30GHz</w:t>
            </w:r>
          </w:p>
        </w:tc>
        <w:tc>
          <w:tcPr>
            <w:tcW w:w="2319" w:type="dxa"/>
            <w:shd w:val="clear" w:color="auto" w:fill="auto"/>
            <w:tcMar>
              <w:top w:w="15" w:type="dxa"/>
              <w:left w:w="61" w:type="dxa"/>
              <w:bottom w:w="0" w:type="dxa"/>
              <w:right w:w="61" w:type="dxa"/>
            </w:tcMar>
            <w:hideMark/>
          </w:tcPr>
          <w:p w14:paraId="2A90E8F9" w14:textId="4D7D6E85"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 xml:space="preserve">Carrier frequency </w:t>
            </w:r>
          </w:p>
        </w:tc>
        <w:tc>
          <w:tcPr>
            <w:tcW w:w="2637" w:type="dxa"/>
            <w:shd w:val="clear" w:color="auto" w:fill="auto"/>
            <w:tcMar>
              <w:top w:w="15" w:type="dxa"/>
              <w:left w:w="61" w:type="dxa"/>
              <w:bottom w:w="0" w:type="dxa"/>
              <w:right w:w="61" w:type="dxa"/>
            </w:tcMar>
            <w:hideMark/>
          </w:tcPr>
          <w:p w14:paraId="14466F01" w14:textId="77777777"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30GHz (Adjacent channel)</w:t>
            </w:r>
          </w:p>
        </w:tc>
      </w:tr>
      <w:tr w:rsidR="00133C72" w:rsidRPr="00384AB3" w14:paraId="71B20E60" w14:textId="77777777" w:rsidTr="008B13EE">
        <w:trPr>
          <w:trHeight w:val="439"/>
          <w:jc w:val="right"/>
        </w:trPr>
        <w:tc>
          <w:tcPr>
            <w:tcW w:w="2263" w:type="dxa"/>
          </w:tcPr>
          <w:p w14:paraId="663BC0D9" w14:textId="079AA1C3"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Duplex mode</w:t>
            </w:r>
          </w:p>
        </w:tc>
        <w:tc>
          <w:tcPr>
            <w:tcW w:w="2410" w:type="dxa"/>
          </w:tcPr>
          <w:p w14:paraId="50B32244" w14:textId="2B4E352F" w:rsidR="00133C72" w:rsidRPr="00A7551B" w:rsidRDefault="00133C72"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TDD</w:t>
            </w:r>
          </w:p>
        </w:tc>
        <w:tc>
          <w:tcPr>
            <w:tcW w:w="2319" w:type="dxa"/>
            <w:shd w:val="clear" w:color="auto" w:fill="auto"/>
            <w:tcMar>
              <w:top w:w="15" w:type="dxa"/>
              <w:left w:w="61" w:type="dxa"/>
              <w:bottom w:w="0" w:type="dxa"/>
              <w:right w:w="61" w:type="dxa"/>
            </w:tcMar>
            <w:hideMark/>
          </w:tcPr>
          <w:p w14:paraId="1220335C" w14:textId="57FAEF17"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Duplex mode</w:t>
            </w:r>
          </w:p>
        </w:tc>
        <w:tc>
          <w:tcPr>
            <w:tcW w:w="2637" w:type="dxa"/>
            <w:shd w:val="clear" w:color="auto" w:fill="auto"/>
            <w:tcMar>
              <w:top w:w="15" w:type="dxa"/>
              <w:left w:w="61" w:type="dxa"/>
              <w:bottom w:w="0" w:type="dxa"/>
              <w:right w:w="61" w:type="dxa"/>
            </w:tcMar>
            <w:hideMark/>
          </w:tcPr>
          <w:p w14:paraId="785F0E3C" w14:textId="77777777"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TDD</w:t>
            </w:r>
          </w:p>
        </w:tc>
      </w:tr>
      <w:tr w:rsidR="00133C72" w:rsidRPr="00384AB3" w14:paraId="32EF0044" w14:textId="77777777" w:rsidTr="008B13EE">
        <w:trPr>
          <w:trHeight w:val="439"/>
          <w:jc w:val="right"/>
        </w:trPr>
        <w:tc>
          <w:tcPr>
            <w:tcW w:w="2263" w:type="dxa"/>
          </w:tcPr>
          <w:p w14:paraId="5B89B843" w14:textId="523C7AA0"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 xml:space="preserve">System </w:t>
            </w:r>
            <w:r w:rsidRPr="00A7551B">
              <w:rPr>
                <w:rFonts w:ascii="Calibri" w:hAnsi="Calibri" w:cs="Calibri"/>
                <w:b/>
                <w:bCs/>
                <w:kern w:val="24"/>
                <w:sz w:val="16"/>
                <w:szCs w:val="16"/>
                <w:lang w:val="en-US" w:eastAsia="fi-FI"/>
              </w:rPr>
              <w:br/>
              <w:t>bandwidth</w:t>
            </w:r>
          </w:p>
        </w:tc>
        <w:tc>
          <w:tcPr>
            <w:tcW w:w="2410" w:type="dxa"/>
          </w:tcPr>
          <w:p w14:paraId="5A14EAA6" w14:textId="27210B69" w:rsidR="00133C72" w:rsidRPr="00A7551B" w:rsidRDefault="008B13EE"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2</w:t>
            </w:r>
            <w:r w:rsidR="00133C72" w:rsidRPr="00A7551B">
              <w:rPr>
                <w:rFonts w:ascii="Calibri" w:hAnsi="Calibri" w:cs="Calibri"/>
                <w:kern w:val="24"/>
                <w:sz w:val="16"/>
                <w:szCs w:val="16"/>
                <w:lang w:val="en-US" w:eastAsia="fi-FI"/>
              </w:rPr>
              <w:t>00MHz</w:t>
            </w:r>
          </w:p>
        </w:tc>
        <w:tc>
          <w:tcPr>
            <w:tcW w:w="2319" w:type="dxa"/>
            <w:shd w:val="clear" w:color="auto" w:fill="auto"/>
            <w:tcMar>
              <w:top w:w="15" w:type="dxa"/>
              <w:left w:w="61" w:type="dxa"/>
              <w:bottom w:w="0" w:type="dxa"/>
              <w:right w:w="61" w:type="dxa"/>
            </w:tcMar>
            <w:hideMark/>
          </w:tcPr>
          <w:p w14:paraId="56DE7F5F" w14:textId="03366D8A"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 xml:space="preserve">System </w:t>
            </w:r>
            <w:r w:rsidRPr="00A7551B">
              <w:rPr>
                <w:rFonts w:ascii="Calibri" w:hAnsi="Calibri" w:cs="Calibri"/>
                <w:b/>
                <w:bCs/>
                <w:kern w:val="24"/>
                <w:sz w:val="16"/>
                <w:szCs w:val="16"/>
                <w:lang w:val="en-US" w:eastAsia="fi-FI"/>
              </w:rPr>
              <w:br/>
              <w:t>bandwidth</w:t>
            </w:r>
          </w:p>
        </w:tc>
        <w:tc>
          <w:tcPr>
            <w:tcW w:w="2637" w:type="dxa"/>
            <w:shd w:val="clear" w:color="auto" w:fill="auto"/>
            <w:tcMar>
              <w:top w:w="15" w:type="dxa"/>
              <w:left w:w="61" w:type="dxa"/>
              <w:bottom w:w="0" w:type="dxa"/>
              <w:right w:w="61" w:type="dxa"/>
            </w:tcMar>
            <w:hideMark/>
          </w:tcPr>
          <w:p w14:paraId="30C93B26" w14:textId="39BF8B3F"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200MHz</w:t>
            </w:r>
          </w:p>
        </w:tc>
      </w:tr>
      <w:tr w:rsidR="00133C72" w:rsidRPr="00384AB3" w14:paraId="139CDE05" w14:textId="77777777" w:rsidTr="008B13EE">
        <w:trPr>
          <w:trHeight w:val="1806"/>
          <w:jc w:val="right"/>
        </w:trPr>
        <w:tc>
          <w:tcPr>
            <w:tcW w:w="2263" w:type="dxa"/>
          </w:tcPr>
          <w:p w14:paraId="2F2A005F" w14:textId="75391C38"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Large-scale channel parameters</w:t>
            </w:r>
          </w:p>
        </w:tc>
        <w:tc>
          <w:tcPr>
            <w:tcW w:w="2410" w:type="dxa"/>
          </w:tcPr>
          <w:p w14:paraId="2AB6B71E" w14:textId="77777777" w:rsidR="00133C72" w:rsidRPr="00A7551B" w:rsidRDefault="00133C72" w:rsidP="008B13EE">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 xml:space="preserve">Micro-to-Micro: </w:t>
            </w:r>
            <w:proofErr w:type="spellStart"/>
            <w:r w:rsidRPr="00A7551B">
              <w:rPr>
                <w:rFonts w:ascii="Calibri" w:hAnsi="Calibri" w:cs="Calibri"/>
                <w:kern w:val="24"/>
                <w:sz w:val="16"/>
                <w:szCs w:val="16"/>
                <w:lang w:val="en-US" w:eastAsia="fi-FI"/>
              </w:rPr>
              <w:t>UMi</w:t>
            </w:r>
            <w:proofErr w:type="spellEnd"/>
            <w:r w:rsidRPr="00A7551B">
              <w:rPr>
                <w:rFonts w:ascii="Calibri" w:hAnsi="Calibri" w:cs="Calibri"/>
                <w:kern w:val="24"/>
                <w:sz w:val="16"/>
                <w:szCs w:val="16"/>
                <w:lang w:val="en-US" w:eastAsia="fi-FI"/>
              </w:rPr>
              <w:t>-Street canyon (</w:t>
            </w:r>
            <w:proofErr w:type="spellStart"/>
            <w:r w:rsidRPr="00A7551B">
              <w:rPr>
                <w:rFonts w:ascii="Calibri" w:hAnsi="Calibri" w:cs="Calibri"/>
                <w:kern w:val="24"/>
                <w:sz w:val="16"/>
                <w:szCs w:val="16"/>
                <w:lang w:val="en-US" w:eastAsia="fi-FI"/>
              </w:rPr>
              <w:t>hUE</w:t>
            </w:r>
            <w:proofErr w:type="spellEnd"/>
            <w:r w:rsidRPr="00A7551B">
              <w:rPr>
                <w:rFonts w:ascii="Calibri" w:hAnsi="Calibri" w:cs="Calibri"/>
                <w:kern w:val="24"/>
                <w:sz w:val="16"/>
                <w:szCs w:val="16"/>
                <w:lang w:val="en-US" w:eastAsia="fi-FI"/>
              </w:rPr>
              <w:t xml:space="preserve"> =10m).</w:t>
            </w:r>
          </w:p>
          <w:p w14:paraId="532079A6" w14:textId="3E9BBD8F" w:rsidR="00133C72" w:rsidRPr="00A7551B" w:rsidRDefault="00133C72" w:rsidP="008B13EE">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 </w:t>
            </w:r>
          </w:p>
        </w:tc>
        <w:tc>
          <w:tcPr>
            <w:tcW w:w="2319" w:type="dxa"/>
            <w:shd w:val="clear" w:color="auto" w:fill="auto"/>
            <w:tcMar>
              <w:top w:w="15" w:type="dxa"/>
              <w:left w:w="61" w:type="dxa"/>
              <w:bottom w:w="0" w:type="dxa"/>
              <w:right w:w="61" w:type="dxa"/>
            </w:tcMar>
            <w:hideMark/>
          </w:tcPr>
          <w:p w14:paraId="15E9F3EB" w14:textId="6F7ABFE4"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Large-scale channel parameters</w:t>
            </w:r>
          </w:p>
        </w:tc>
        <w:tc>
          <w:tcPr>
            <w:tcW w:w="2637" w:type="dxa"/>
            <w:shd w:val="clear" w:color="auto" w:fill="auto"/>
            <w:tcMar>
              <w:top w:w="15" w:type="dxa"/>
              <w:left w:w="61" w:type="dxa"/>
              <w:bottom w:w="0" w:type="dxa"/>
              <w:right w:w="61" w:type="dxa"/>
            </w:tcMar>
            <w:hideMark/>
          </w:tcPr>
          <w:p w14:paraId="4B3F2F39" w14:textId="292508B5" w:rsidR="00133C72" w:rsidRPr="00A7551B" w:rsidRDefault="00133C72"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 xml:space="preserve">Micro-to-Micro: </w:t>
            </w:r>
            <w:proofErr w:type="spellStart"/>
            <w:r w:rsidRPr="00A7551B">
              <w:rPr>
                <w:rFonts w:ascii="Calibri" w:hAnsi="Calibri" w:cs="Calibri"/>
                <w:kern w:val="24"/>
                <w:sz w:val="16"/>
                <w:szCs w:val="16"/>
                <w:lang w:val="en-US" w:eastAsia="fi-FI"/>
              </w:rPr>
              <w:t>UMi</w:t>
            </w:r>
            <w:proofErr w:type="spellEnd"/>
            <w:r w:rsidRPr="00A7551B">
              <w:rPr>
                <w:rFonts w:ascii="Calibri" w:hAnsi="Calibri" w:cs="Calibri"/>
                <w:kern w:val="24"/>
                <w:sz w:val="16"/>
                <w:szCs w:val="16"/>
                <w:lang w:val="en-US" w:eastAsia="fi-FI"/>
              </w:rPr>
              <w:t>-Street canyon (</w:t>
            </w:r>
            <w:proofErr w:type="spellStart"/>
            <w:r w:rsidRPr="00A7551B">
              <w:rPr>
                <w:rFonts w:ascii="Calibri" w:hAnsi="Calibri" w:cs="Calibri"/>
                <w:kern w:val="24"/>
                <w:sz w:val="16"/>
                <w:szCs w:val="16"/>
                <w:lang w:val="en-US" w:eastAsia="fi-FI"/>
              </w:rPr>
              <w:t>hUE</w:t>
            </w:r>
            <w:proofErr w:type="spellEnd"/>
            <w:r w:rsidRPr="00A7551B">
              <w:rPr>
                <w:rFonts w:ascii="Calibri" w:hAnsi="Calibri" w:cs="Calibri"/>
                <w:kern w:val="24"/>
                <w:sz w:val="16"/>
                <w:szCs w:val="16"/>
                <w:lang w:val="en-US" w:eastAsia="fi-FI"/>
              </w:rPr>
              <w:t xml:space="preserve"> =10m)</w:t>
            </w:r>
          </w:p>
          <w:p w14:paraId="7CD538E5" w14:textId="77777777" w:rsidR="00133C72" w:rsidRPr="00A7551B" w:rsidRDefault="00133C72" w:rsidP="00133C72">
            <w:pPr>
              <w:overflowPunct/>
              <w:autoSpaceDE/>
              <w:autoSpaceDN/>
              <w:adjustRightInd/>
              <w:spacing w:after="0"/>
              <w:textAlignment w:val="auto"/>
              <w:rPr>
                <w:rFonts w:ascii="Calibri" w:hAnsi="Calibri" w:cs="Calibri"/>
                <w:kern w:val="24"/>
                <w:sz w:val="16"/>
                <w:szCs w:val="16"/>
                <w:lang w:val="en-US" w:eastAsia="fi-FI"/>
              </w:rPr>
            </w:pPr>
          </w:p>
          <w:p w14:paraId="0CCBCA98" w14:textId="751D3709" w:rsidR="00133C72" w:rsidRPr="00A7551B" w:rsidRDefault="00133C72"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100% LOS condition between adjacent intra-operator IAB-Nodes and Donor-nodes.</w:t>
            </w:r>
          </w:p>
          <w:p w14:paraId="3E1997B4" w14:textId="5E08330E" w:rsidR="00133C72" w:rsidRPr="00A7551B" w:rsidRDefault="00133C72"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 </w:t>
            </w:r>
          </w:p>
          <w:p w14:paraId="7BC6C5BD" w14:textId="77777777"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 </w:t>
            </w:r>
          </w:p>
        </w:tc>
      </w:tr>
      <w:tr w:rsidR="00133C72" w:rsidRPr="00384AB3" w14:paraId="626F50FD" w14:textId="77777777" w:rsidTr="008B13EE">
        <w:trPr>
          <w:trHeight w:val="439"/>
          <w:jc w:val="right"/>
        </w:trPr>
        <w:tc>
          <w:tcPr>
            <w:tcW w:w="2263" w:type="dxa"/>
          </w:tcPr>
          <w:p w14:paraId="01AB3DD5" w14:textId="2AFC9737"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proofErr w:type="spellStart"/>
            <w:r w:rsidRPr="00A7551B">
              <w:rPr>
                <w:rFonts w:ascii="Calibri" w:hAnsi="Calibri" w:cs="Calibri"/>
                <w:b/>
                <w:bCs/>
                <w:kern w:val="24"/>
                <w:sz w:val="16"/>
                <w:szCs w:val="16"/>
                <w:lang w:val="en-US" w:eastAsia="fi-FI"/>
              </w:rPr>
              <w:t>gNB</w:t>
            </w:r>
            <w:proofErr w:type="spellEnd"/>
            <w:r w:rsidRPr="00A7551B">
              <w:rPr>
                <w:rFonts w:ascii="Calibri" w:hAnsi="Calibri" w:cs="Calibri"/>
                <w:b/>
                <w:bCs/>
                <w:kern w:val="24"/>
                <w:sz w:val="16"/>
                <w:szCs w:val="16"/>
                <w:lang w:val="en-US" w:eastAsia="fi-FI"/>
              </w:rPr>
              <w:t xml:space="preserve"> Tx power </w:t>
            </w:r>
          </w:p>
        </w:tc>
        <w:tc>
          <w:tcPr>
            <w:tcW w:w="2410" w:type="dxa"/>
          </w:tcPr>
          <w:p w14:paraId="186A56C5" w14:textId="2F0524B7" w:rsidR="00133C72" w:rsidRPr="00A7551B" w:rsidRDefault="008B13EE"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 xml:space="preserve">28 dBm </w:t>
            </w:r>
          </w:p>
        </w:tc>
        <w:tc>
          <w:tcPr>
            <w:tcW w:w="2319" w:type="dxa"/>
            <w:shd w:val="clear" w:color="auto" w:fill="auto"/>
            <w:tcMar>
              <w:top w:w="15" w:type="dxa"/>
              <w:left w:w="61" w:type="dxa"/>
              <w:bottom w:w="0" w:type="dxa"/>
              <w:right w:w="61" w:type="dxa"/>
            </w:tcMar>
            <w:hideMark/>
          </w:tcPr>
          <w:p w14:paraId="03FE3120" w14:textId="1FE7BDD5"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 xml:space="preserve">IAB node Tx power </w:t>
            </w:r>
          </w:p>
        </w:tc>
        <w:tc>
          <w:tcPr>
            <w:tcW w:w="2637" w:type="dxa"/>
            <w:shd w:val="clear" w:color="auto" w:fill="auto"/>
            <w:tcMar>
              <w:top w:w="15" w:type="dxa"/>
              <w:left w:w="61" w:type="dxa"/>
              <w:bottom w:w="0" w:type="dxa"/>
              <w:right w:w="61" w:type="dxa"/>
            </w:tcMar>
            <w:hideMark/>
          </w:tcPr>
          <w:p w14:paraId="49AF3ACB" w14:textId="735E3EBE"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 xml:space="preserve">28 dBm </w:t>
            </w:r>
          </w:p>
        </w:tc>
      </w:tr>
      <w:tr w:rsidR="00133C72" w:rsidRPr="00384AB3" w14:paraId="7D8F331A" w14:textId="77777777" w:rsidTr="008B13EE">
        <w:trPr>
          <w:trHeight w:val="652"/>
          <w:jc w:val="right"/>
        </w:trPr>
        <w:tc>
          <w:tcPr>
            <w:tcW w:w="2263" w:type="dxa"/>
          </w:tcPr>
          <w:p w14:paraId="55678FDB" w14:textId="3741F106"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proofErr w:type="spellStart"/>
            <w:r w:rsidRPr="00A7551B">
              <w:rPr>
                <w:rFonts w:ascii="Calibri" w:hAnsi="Calibri" w:cs="Calibri"/>
                <w:b/>
                <w:bCs/>
                <w:kern w:val="24"/>
                <w:sz w:val="16"/>
                <w:szCs w:val="16"/>
                <w:lang w:val="en-US" w:eastAsia="fi-FI"/>
              </w:rPr>
              <w:t>gNB</w:t>
            </w:r>
            <w:proofErr w:type="spellEnd"/>
            <w:r w:rsidRPr="00A7551B">
              <w:rPr>
                <w:rFonts w:ascii="Calibri" w:hAnsi="Calibri" w:cs="Calibri"/>
                <w:b/>
                <w:bCs/>
                <w:kern w:val="24"/>
                <w:sz w:val="16"/>
                <w:szCs w:val="16"/>
                <w:lang w:val="en-US" w:eastAsia="fi-FI"/>
              </w:rPr>
              <w:t xml:space="preserve"> antenna configurations</w:t>
            </w:r>
          </w:p>
        </w:tc>
        <w:tc>
          <w:tcPr>
            <w:tcW w:w="2410" w:type="dxa"/>
          </w:tcPr>
          <w:p w14:paraId="3318E5A2" w14:textId="0199FD0F" w:rsidR="00133C72" w:rsidRPr="00A7551B" w:rsidRDefault="008B13EE" w:rsidP="008B13EE">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8</w:t>
            </w:r>
            <w:r w:rsidR="00133C72" w:rsidRPr="00A7551B">
              <w:rPr>
                <w:rFonts w:ascii="Calibri" w:hAnsi="Calibri" w:cs="Calibri"/>
                <w:kern w:val="24"/>
                <w:sz w:val="16"/>
                <w:szCs w:val="16"/>
                <w:lang w:val="en-US" w:eastAsia="fi-FI"/>
              </w:rPr>
              <w:t>x8 Antenna Array</w:t>
            </w:r>
          </w:p>
          <w:p w14:paraId="5D2E4A59" w14:textId="77777777" w:rsidR="00133C72" w:rsidRPr="00A7551B" w:rsidRDefault="00133C72" w:rsidP="008B13EE">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 xml:space="preserve">Vertical and Horizontal element spacing: </w:t>
            </w:r>
            <m:oMath>
              <m:f>
                <m:fPr>
                  <m:ctrlPr>
                    <w:rPr>
                      <w:rFonts w:ascii="Cambria Math" w:hAnsi="Cambria Math" w:cs="Calibri"/>
                      <w:kern w:val="24"/>
                      <w:sz w:val="16"/>
                      <w:szCs w:val="16"/>
                      <w:lang w:val="en-US" w:eastAsia="fi-FI"/>
                    </w:rPr>
                  </m:ctrlPr>
                </m:fPr>
                <m:num>
                  <m:r>
                    <w:rPr>
                      <w:rFonts w:ascii="Cambria Math" w:hAnsi="Cambria Math" w:cs="Calibri"/>
                      <w:kern w:val="24"/>
                      <w:sz w:val="16"/>
                      <w:szCs w:val="16"/>
                      <w:lang w:val="en-US" w:eastAsia="fi-FI"/>
                    </w:rPr>
                    <m:t>λ</m:t>
                  </m:r>
                </m:num>
                <m:den>
                  <m:r>
                    <m:rPr>
                      <m:sty m:val="p"/>
                    </m:rPr>
                    <w:rPr>
                      <w:rFonts w:ascii="Cambria Math" w:hAnsi="Cambria Math" w:cs="Calibri"/>
                      <w:kern w:val="24"/>
                      <w:sz w:val="16"/>
                      <w:szCs w:val="16"/>
                      <w:lang w:val="en-US" w:eastAsia="fi-FI"/>
                    </w:rPr>
                    <m:t>2</m:t>
                  </m:r>
                </m:den>
              </m:f>
            </m:oMath>
          </w:p>
          <w:p w14:paraId="1474F711" w14:textId="53E711A5" w:rsidR="00133C72" w:rsidRPr="00A7551B" w:rsidRDefault="00133C72" w:rsidP="008B13EE">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 </w:t>
            </w:r>
          </w:p>
        </w:tc>
        <w:tc>
          <w:tcPr>
            <w:tcW w:w="2319" w:type="dxa"/>
            <w:shd w:val="clear" w:color="auto" w:fill="auto"/>
            <w:tcMar>
              <w:top w:w="15" w:type="dxa"/>
              <w:left w:w="61" w:type="dxa"/>
              <w:bottom w:w="0" w:type="dxa"/>
              <w:right w:w="61" w:type="dxa"/>
            </w:tcMar>
            <w:hideMark/>
          </w:tcPr>
          <w:p w14:paraId="6382F28B" w14:textId="428F747F"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IAB node antenna configurations</w:t>
            </w:r>
          </w:p>
        </w:tc>
        <w:tc>
          <w:tcPr>
            <w:tcW w:w="2637" w:type="dxa"/>
            <w:shd w:val="clear" w:color="auto" w:fill="auto"/>
            <w:tcMar>
              <w:top w:w="15" w:type="dxa"/>
              <w:left w:w="61" w:type="dxa"/>
              <w:bottom w:w="0" w:type="dxa"/>
              <w:right w:w="61" w:type="dxa"/>
            </w:tcMar>
            <w:hideMark/>
          </w:tcPr>
          <w:p w14:paraId="319FA945" w14:textId="0B8DC9A5"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8x8 Antenna Array</w:t>
            </w:r>
          </w:p>
          <w:p w14:paraId="552D8FAF" w14:textId="77777777"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 xml:space="preserve">Vertical and Horizontal element spacing: </w:t>
            </w:r>
            <m:oMath>
              <m:f>
                <m:fPr>
                  <m:ctrlPr>
                    <w:rPr>
                      <w:rFonts w:ascii="Cambria Math" w:hAnsi="Cambria Math" w:cs="Arial"/>
                      <w:i/>
                      <w:iCs/>
                      <w:kern w:val="24"/>
                      <w:sz w:val="16"/>
                      <w:szCs w:val="16"/>
                      <w:lang w:val="en-US" w:eastAsia="fi-FI"/>
                    </w:rPr>
                  </m:ctrlPr>
                </m:fPr>
                <m:num>
                  <m:r>
                    <w:rPr>
                      <w:rFonts w:ascii="Cambria Math" w:hAnsi="Cambria Math" w:cs="Arial"/>
                      <w:kern w:val="24"/>
                      <w:sz w:val="16"/>
                      <w:szCs w:val="16"/>
                      <w:lang w:val="en-US" w:eastAsia="fi-FI"/>
                    </w:rPr>
                    <m:t>λ</m:t>
                  </m:r>
                </m:num>
                <m:den>
                  <m:r>
                    <m:rPr>
                      <m:sty m:val="p"/>
                    </m:rPr>
                    <w:rPr>
                      <w:rFonts w:ascii="Cambria Math" w:hAnsi="Cambria Math" w:cs="Arial"/>
                      <w:kern w:val="24"/>
                      <w:sz w:val="16"/>
                      <w:szCs w:val="16"/>
                      <w:lang w:val="en-US" w:eastAsia="fi-FI"/>
                    </w:rPr>
                    <m:t>2</m:t>
                  </m:r>
                </m:den>
              </m:f>
            </m:oMath>
          </w:p>
          <w:p w14:paraId="4FEE21B0" w14:textId="77777777"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 </w:t>
            </w:r>
          </w:p>
        </w:tc>
      </w:tr>
      <w:tr w:rsidR="00133C72" w:rsidRPr="00384AB3" w14:paraId="05314B80" w14:textId="77777777" w:rsidTr="008B13EE">
        <w:trPr>
          <w:trHeight w:val="439"/>
          <w:jc w:val="right"/>
        </w:trPr>
        <w:tc>
          <w:tcPr>
            <w:tcW w:w="2263" w:type="dxa"/>
          </w:tcPr>
          <w:p w14:paraId="78F13E74" w14:textId="77C83710"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proofErr w:type="spellStart"/>
            <w:r w:rsidRPr="00A7551B">
              <w:rPr>
                <w:rFonts w:ascii="Calibri" w:hAnsi="Calibri" w:cs="Calibri"/>
                <w:b/>
                <w:bCs/>
                <w:kern w:val="24"/>
                <w:sz w:val="16"/>
                <w:szCs w:val="16"/>
                <w:lang w:val="en-US" w:eastAsia="fi-FI"/>
              </w:rPr>
              <w:t>gNB</w:t>
            </w:r>
            <w:proofErr w:type="spellEnd"/>
            <w:r w:rsidRPr="00A7551B">
              <w:rPr>
                <w:rFonts w:ascii="Calibri" w:hAnsi="Calibri" w:cs="Calibri"/>
                <w:b/>
                <w:bCs/>
                <w:kern w:val="24"/>
                <w:sz w:val="16"/>
                <w:szCs w:val="16"/>
                <w:lang w:val="en-US" w:eastAsia="fi-FI"/>
              </w:rPr>
              <w:t xml:space="preserve"> antenna height </w:t>
            </w:r>
          </w:p>
        </w:tc>
        <w:tc>
          <w:tcPr>
            <w:tcW w:w="2410" w:type="dxa"/>
          </w:tcPr>
          <w:p w14:paraId="69E97FEB" w14:textId="629CD48F" w:rsidR="00133C72" w:rsidRPr="00A7551B" w:rsidRDefault="00133C72"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10 m</w:t>
            </w:r>
          </w:p>
        </w:tc>
        <w:tc>
          <w:tcPr>
            <w:tcW w:w="2319" w:type="dxa"/>
            <w:shd w:val="clear" w:color="auto" w:fill="auto"/>
            <w:tcMar>
              <w:top w:w="15" w:type="dxa"/>
              <w:left w:w="61" w:type="dxa"/>
              <w:bottom w:w="0" w:type="dxa"/>
              <w:right w:w="61" w:type="dxa"/>
            </w:tcMar>
            <w:hideMark/>
          </w:tcPr>
          <w:p w14:paraId="79A8684C" w14:textId="6637133A"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 xml:space="preserve">IAB node antenna height </w:t>
            </w:r>
          </w:p>
        </w:tc>
        <w:tc>
          <w:tcPr>
            <w:tcW w:w="2637" w:type="dxa"/>
            <w:shd w:val="clear" w:color="auto" w:fill="auto"/>
            <w:tcMar>
              <w:top w:w="15" w:type="dxa"/>
              <w:left w:w="61" w:type="dxa"/>
              <w:bottom w:w="0" w:type="dxa"/>
              <w:right w:w="61" w:type="dxa"/>
            </w:tcMar>
            <w:hideMark/>
          </w:tcPr>
          <w:p w14:paraId="4CB6358D" w14:textId="77777777"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10 m</w:t>
            </w:r>
          </w:p>
        </w:tc>
      </w:tr>
      <w:tr w:rsidR="00133C72" w:rsidRPr="00384AB3" w14:paraId="4FA871AF" w14:textId="77777777" w:rsidTr="008B13EE">
        <w:trPr>
          <w:trHeight w:val="542"/>
          <w:jc w:val="right"/>
        </w:trPr>
        <w:tc>
          <w:tcPr>
            <w:tcW w:w="2263" w:type="dxa"/>
          </w:tcPr>
          <w:p w14:paraId="471F14DD" w14:textId="56F55061"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proofErr w:type="spellStart"/>
            <w:r w:rsidRPr="00A7551B">
              <w:rPr>
                <w:rFonts w:ascii="Calibri" w:hAnsi="Calibri" w:cs="Calibri"/>
                <w:b/>
                <w:bCs/>
                <w:kern w:val="24"/>
                <w:sz w:val="16"/>
                <w:szCs w:val="16"/>
                <w:lang w:val="en-US" w:eastAsia="fi-FI"/>
              </w:rPr>
              <w:t>gNB</w:t>
            </w:r>
            <w:proofErr w:type="spellEnd"/>
            <w:r w:rsidRPr="00A7551B">
              <w:rPr>
                <w:rFonts w:ascii="Calibri" w:hAnsi="Calibri" w:cs="Calibri"/>
                <w:b/>
                <w:bCs/>
                <w:kern w:val="24"/>
                <w:sz w:val="16"/>
                <w:szCs w:val="16"/>
                <w:lang w:val="en-US" w:eastAsia="fi-FI"/>
              </w:rPr>
              <w:t xml:space="preserve"> antenna element gain</w:t>
            </w:r>
          </w:p>
        </w:tc>
        <w:tc>
          <w:tcPr>
            <w:tcW w:w="2410" w:type="dxa"/>
          </w:tcPr>
          <w:p w14:paraId="6E7E5B5E" w14:textId="35936830" w:rsidR="00133C72" w:rsidRPr="00A7551B" w:rsidRDefault="00133C72"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3dBi</w:t>
            </w:r>
          </w:p>
        </w:tc>
        <w:tc>
          <w:tcPr>
            <w:tcW w:w="2319" w:type="dxa"/>
            <w:shd w:val="clear" w:color="auto" w:fill="auto"/>
            <w:tcMar>
              <w:top w:w="15" w:type="dxa"/>
              <w:left w:w="61" w:type="dxa"/>
              <w:bottom w:w="0" w:type="dxa"/>
              <w:right w:w="61" w:type="dxa"/>
            </w:tcMar>
            <w:hideMark/>
          </w:tcPr>
          <w:p w14:paraId="4F2A28D8" w14:textId="3DDD5122"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IAB node antenna element gain</w:t>
            </w:r>
          </w:p>
        </w:tc>
        <w:tc>
          <w:tcPr>
            <w:tcW w:w="2637" w:type="dxa"/>
            <w:shd w:val="clear" w:color="auto" w:fill="auto"/>
            <w:tcMar>
              <w:top w:w="15" w:type="dxa"/>
              <w:left w:w="61" w:type="dxa"/>
              <w:bottom w:w="0" w:type="dxa"/>
              <w:right w:w="61" w:type="dxa"/>
            </w:tcMar>
            <w:hideMark/>
          </w:tcPr>
          <w:p w14:paraId="1F6DBAEA" w14:textId="77777777"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3dBi</w:t>
            </w:r>
          </w:p>
        </w:tc>
      </w:tr>
      <w:tr w:rsidR="00133C72" w:rsidRPr="00384AB3" w14:paraId="2D7185A1" w14:textId="77777777" w:rsidTr="008B13EE">
        <w:trPr>
          <w:trHeight w:val="542"/>
          <w:jc w:val="right"/>
        </w:trPr>
        <w:tc>
          <w:tcPr>
            <w:tcW w:w="2263" w:type="dxa"/>
          </w:tcPr>
          <w:p w14:paraId="045A76CF" w14:textId="1C1984EA" w:rsidR="00133C72" w:rsidRPr="00A7551B" w:rsidRDefault="00133C72" w:rsidP="00133C72">
            <w:pPr>
              <w:overflowPunct/>
              <w:autoSpaceDE/>
              <w:autoSpaceDN/>
              <w:adjustRightInd/>
              <w:spacing w:after="0"/>
              <w:textAlignment w:val="auto"/>
              <w:rPr>
                <w:rFonts w:ascii="Calibri" w:hAnsi="Calibri" w:cs="Calibri"/>
                <w:b/>
                <w:bCs/>
                <w:kern w:val="24"/>
                <w:sz w:val="16"/>
                <w:szCs w:val="16"/>
                <w:lang w:val="en-US" w:eastAsia="fi-FI"/>
              </w:rPr>
            </w:pPr>
            <w:proofErr w:type="spellStart"/>
            <w:r w:rsidRPr="00A7551B">
              <w:rPr>
                <w:rFonts w:ascii="Calibri" w:hAnsi="Calibri" w:cs="Calibri"/>
                <w:b/>
                <w:bCs/>
                <w:kern w:val="24"/>
                <w:sz w:val="16"/>
                <w:szCs w:val="16"/>
                <w:lang w:val="en-US" w:eastAsia="fi-FI"/>
              </w:rPr>
              <w:t>gNB</w:t>
            </w:r>
            <w:proofErr w:type="spellEnd"/>
            <w:r w:rsidRPr="00A7551B">
              <w:rPr>
                <w:rFonts w:ascii="Calibri" w:hAnsi="Calibri" w:cs="Calibri"/>
                <w:b/>
                <w:bCs/>
                <w:kern w:val="24"/>
                <w:sz w:val="16"/>
                <w:szCs w:val="16"/>
                <w:lang w:val="en-US" w:eastAsia="fi-FI"/>
              </w:rPr>
              <w:t xml:space="preserve"> receiver noise figure</w:t>
            </w:r>
          </w:p>
        </w:tc>
        <w:tc>
          <w:tcPr>
            <w:tcW w:w="2410" w:type="dxa"/>
          </w:tcPr>
          <w:p w14:paraId="65DC5EFF" w14:textId="7310C50A" w:rsidR="00133C72" w:rsidRPr="00A7551B" w:rsidRDefault="00133C72" w:rsidP="00133C72">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10dB</w:t>
            </w:r>
          </w:p>
        </w:tc>
        <w:tc>
          <w:tcPr>
            <w:tcW w:w="2319" w:type="dxa"/>
            <w:shd w:val="clear" w:color="auto" w:fill="auto"/>
            <w:tcMar>
              <w:top w:w="15" w:type="dxa"/>
              <w:left w:w="61" w:type="dxa"/>
              <w:bottom w:w="0" w:type="dxa"/>
              <w:right w:w="61" w:type="dxa"/>
            </w:tcMar>
            <w:hideMark/>
          </w:tcPr>
          <w:p w14:paraId="0C1E15C7" w14:textId="00841313"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b/>
                <w:bCs/>
                <w:kern w:val="24"/>
                <w:sz w:val="16"/>
                <w:szCs w:val="16"/>
                <w:lang w:val="en-US" w:eastAsia="fi-FI"/>
              </w:rPr>
              <w:t>IAB node receiver noise figure</w:t>
            </w:r>
          </w:p>
        </w:tc>
        <w:tc>
          <w:tcPr>
            <w:tcW w:w="2637" w:type="dxa"/>
            <w:shd w:val="clear" w:color="auto" w:fill="auto"/>
            <w:tcMar>
              <w:top w:w="15" w:type="dxa"/>
              <w:left w:w="61" w:type="dxa"/>
              <w:bottom w:w="0" w:type="dxa"/>
              <w:right w:w="61" w:type="dxa"/>
            </w:tcMar>
            <w:hideMark/>
          </w:tcPr>
          <w:p w14:paraId="7936268A" w14:textId="77777777" w:rsidR="00133C72" w:rsidRPr="00A7551B" w:rsidRDefault="00133C72" w:rsidP="00133C72">
            <w:pPr>
              <w:overflowPunct/>
              <w:autoSpaceDE/>
              <w:autoSpaceDN/>
              <w:adjustRightInd/>
              <w:spacing w:after="0"/>
              <w:textAlignment w:val="auto"/>
              <w:rPr>
                <w:rFonts w:ascii="Arial" w:hAnsi="Arial" w:cs="Arial"/>
                <w:sz w:val="36"/>
                <w:szCs w:val="36"/>
                <w:lang w:val="en-US" w:eastAsia="fi-FI"/>
              </w:rPr>
            </w:pPr>
            <w:r w:rsidRPr="00A7551B">
              <w:rPr>
                <w:rFonts w:ascii="Calibri" w:hAnsi="Calibri" w:cs="Calibri"/>
                <w:kern w:val="24"/>
                <w:sz w:val="16"/>
                <w:szCs w:val="16"/>
                <w:lang w:val="en-US" w:eastAsia="fi-FI"/>
              </w:rPr>
              <w:t>10dB</w:t>
            </w:r>
          </w:p>
        </w:tc>
      </w:tr>
      <w:tr w:rsidR="00BF2FFF" w:rsidRPr="00384AB3" w14:paraId="6E00E8F6" w14:textId="77777777" w:rsidTr="008B13EE">
        <w:trPr>
          <w:trHeight w:val="542"/>
          <w:jc w:val="right"/>
        </w:trPr>
        <w:tc>
          <w:tcPr>
            <w:tcW w:w="2263" w:type="dxa"/>
          </w:tcPr>
          <w:p w14:paraId="1A45F6D3" w14:textId="0728AF6B" w:rsidR="00BF2FFF" w:rsidRPr="00A7551B" w:rsidRDefault="00BF2FFF" w:rsidP="00BF2FFF">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UEs in the network</w:t>
            </w:r>
          </w:p>
        </w:tc>
        <w:tc>
          <w:tcPr>
            <w:tcW w:w="2410" w:type="dxa"/>
          </w:tcPr>
          <w:p w14:paraId="091AC39D" w14:textId="674CAFFC" w:rsidR="00BF2FFF" w:rsidRPr="00A7551B" w:rsidRDefault="00BF2FFF" w:rsidP="00BF2FFF">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10 per base station, one scheduled at a time</w:t>
            </w:r>
          </w:p>
        </w:tc>
        <w:tc>
          <w:tcPr>
            <w:tcW w:w="2319" w:type="dxa"/>
            <w:shd w:val="clear" w:color="auto" w:fill="auto"/>
            <w:tcMar>
              <w:top w:w="15" w:type="dxa"/>
              <w:left w:w="61" w:type="dxa"/>
              <w:bottom w:w="0" w:type="dxa"/>
              <w:right w:w="61" w:type="dxa"/>
            </w:tcMar>
          </w:tcPr>
          <w:p w14:paraId="62CF1209" w14:textId="2BF3A135" w:rsidR="00BF2FFF" w:rsidRPr="00A7551B" w:rsidRDefault="00BF2FFF" w:rsidP="00BF2FFF">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UEs in the network</w:t>
            </w:r>
          </w:p>
        </w:tc>
        <w:tc>
          <w:tcPr>
            <w:tcW w:w="2637" w:type="dxa"/>
            <w:shd w:val="clear" w:color="auto" w:fill="auto"/>
            <w:tcMar>
              <w:top w:w="15" w:type="dxa"/>
              <w:left w:w="61" w:type="dxa"/>
              <w:bottom w:w="0" w:type="dxa"/>
              <w:right w:w="61" w:type="dxa"/>
            </w:tcMar>
          </w:tcPr>
          <w:p w14:paraId="3CF3BF5B" w14:textId="597D8453" w:rsidR="00BF2FFF" w:rsidRPr="00A7551B" w:rsidRDefault="00BF2FFF" w:rsidP="00BF2FFF">
            <w:pPr>
              <w:overflowPunct/>
              <w:autoSpaceDE/>
              <w:autoSpaceDN/>
              <w:adjustRightInd/>
              <w:spacing w:after="0"/>
              <w:textAlignment w:val="auto"/>
              <w:rPr>
                <w:rFonts w:ascii="Calibri" w:hAnsi="Calibri" w:cs="Calibri"/>
                <w:kern w:val="24"/>
                <w:sz w:val="16"/>
                <w:szCs w:val="16"/>
                <w:lang w:val="en-US" w:eastAsia="fi-FI"/>
              </w:rPr>
            </w:pPr>
            <w:r w:rsidRPr="00A7551B">
              <w:rPr>
                <w:rFonts w:ascii="Calibri" w:hAnsi="Calibri" w:cs="Calibri"/>
                <w:kern w:val="24"/>
                <w:sz w:val="16"/>
                <w:szCs w:val="16"/>
                <w:lang w:val="en-US" w:eastAsia="fi-FI"/>
              </w:rPr>
              <w:t>10 per base station, one scheduled at a time</w:t>
            </w:r>
          </w:p>
        </w:tc>
      </w:tr>
      <w:tr w:rsidR="00BF2FFF" w:rsidRPr="00384AB3" w14:paraId="68D74A2B" w14:textId="77777777" w:rsidTr="008B13EE">
        <w:trPr>
          <w:trHeight w:val="542"/>
          <w:jc w:val="right"/>
        </w:trPr>
        <w:tc>
          <w:tcPr>
            <w:tcW w:w="2263" w:type="dxa"/>
          </w:tcPr>
          <w:p w14:paraId="288E14D1" w14:textId="3F4A5123" w:rsidR="00BF2FFF" w:rsidRPr="00A7551B" w:rsidRDefault="00BF2FFF" w:rsidP="00BF2FFF">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 xml:space="preserve">UE </w:t>
            </w:r>
            <w:r>
              <w:rPr>
                <w:rFonts w:ascii="Calibri" w:hAnsi="Calibri" w:cs="Calibri"/>
                <w:b/>
                <w:bCs/>
                <w:kern w:val="24"/>
                <w:sz w:val="16"/>
                <w:szCs w:val="16"/>
                <w:lang w:val="en-US" w:eastAsia="fi-FI"/>
              </w:rPr>
              <w:t>peak EIRP (dBm)</w:t>
            </w:r>
          </w:p>
        </w:tc>
        <w:tc>
          <w:tcPr>
            <w:tcW w:w="2410" w:type="dxa"/>
          </w:tcPr>
          <w:p w14:paraId="6DC16FC3" w14:textId="3F4ADF46" w:rsidR="00BF2FFF" w:rsidRPr="00A7551B" w:rsidRDefault="00BF2FFF" w:rsidP="00BF2FFF">
            <w:pPr>
              <w:overflowPunct/>
              <w:autoSpaceDE/>
              <w:autoSpaceDN/>
              <w:adjustRightInd/>
              <w:spacing w:after="0"/>
              <w:textAlignment w:val="auto"/>
              <w:rPr>
                <w:rFonts w:ascii="Calibri" w:hAnsi="Calibri" w:cs="Calibri"/>
                <w:kern w:val="24"/>
                <w:sz w:val="16"/>
                <w:szCs w:val="16"/>
                <w:lang w:val="en-US" w:eastAsia="fi-FI"/>
              </w:rPr>
            </w:pPr>
            <w:r>
              <w:rPr>
                <w:rFonts w:ascii="Calibri" w:hAnsi="Calibri" w:cs="Calibri"/>
                <w:kern w:val="24"/>
                <w:sz w:val="16"/>
                <w:szCs w:val="16"/>
                <w:lang w:val="en-US" w:eastAsia="fi-FI"/>
              </w:rPr>
              <w:t>22.4</w:t>
            </w:r>
          </w:p>
        </w:tc>
        <w:tc>
          <w:tcPr>
            <w:tcW w:w="2319" w:type="dxa"/>
            <w:shd w:val="clear" w:color="auto" w:fill="auto"/>
            <w:tcMar>
              <w:top w:w="15" w:type="dxa"/>
              <w:left w:w="61" w:type="dxa"/>
              <w:bottom w:w="0" w:type="dxa"/>
              <w:right w:w="61" w:type="dxa"/>
            </w:tcMar>
          </w:tcPr>
          <w:p w14:paraId="30E983E0" w14:textId="211779F1" w:rsidR="00BF2FFF" w:rsidRPr="00A7551B" w:rsidRDefault="00BF2FFF" w:rsidP="00BF2FFF">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 xml:space="preserve">UE </w:t>
            </w:r>
            <w:r>
              <w:rPr>
                <w:rFonts w:ascii="Calibri" w:hAnsi="Calibri" w:cs="Calibri"/>
                <w:b/>
                <w:bCs/>
                <w:kern w:val="24"/>
                <w:sz w:val="16"/>
                <w:szCs w:val="16"/>
                <w:lang w:val="en-US" w:eastAsia="fi-FI"/>
              </w:rPr>
              <w:t>peak EIRP (dBm)</w:t>
            </w:r>
          </w:p>
        </w:tc>
        <w:tc>
          <w:tcPr>
            <w:tcW w:w="2637" w:type="dxa"/>
            <w:shd w:val="clear" w:color="auto" w:fill="auto"/>
            <w:tcMar>
              <w:top w:w="15" w:type="dxa"/>
              <w:left w:w="61" w:type="dxa"/>
              <w:bottom w:w="0" w:type="dxa"/>
              <w:right w:w="61" w:type="dxa"/>
            </w:tcMar>
          </w:tcPr>
          <w:p w14:paraId="097501EB" w14:textId="4E3E0572" w:rsidR="00BF2FFF" w:rsidRPr="00A7551B" w:rsidRDefault="00BF2FFF" w:rsidP="00BF2FFF">
            <w:pPr>
              <w:overflowPunct/>
              <w:autoSpaceDE/>
              <w:autoSpaceDN/>
              <w:adjustRightInd/>
              <w:spacing w:after="0"/>
              <w:textAlignment w:val="auto"/>
              <w:rPr>
                <w:rFonts w:ascii="Calibri" w:hAnsi="Calibri" w:cs="Calibri"/>
                <w:kern w:val="24"/>
                <w:sz w:val="16"/>
                <w:szCs w:val="16"/>
                <w:lang w:val="en-US" w:eastAsia="fi-FI"/>
              </w:rPr>
            </w:pPr>
            <w:r>
              <w:rPr>
                <w:rFonts w:ascii="Calibri" w:hAnsi="Calibri" w:cs="Calibri"/>
                <w:kern w:val="24"/>
                <w:sz w:val="16"/>
                <w:szCs w:val="16"/>
                <w:lang w:val="en-US" w:eastAsia="fi-FI"/>
              </w:rPr>
              <w:t>22.4</w:t>
            </w:r>
          </w:p>
        </w:tc>
      </w:tr>
      <w:tr w:rsidR="00BF2FFF" w:rsidRPr="00384AB3" w14:paraId="5AC7A467" w14:textId="77777777" w:rsidTr="008B13EE">
        <w:trPr>
          <w:trHeight w:val="542"/>
          <w:jc w:val="right"/>
        </w:trPr>
        <w:tc>
          <w:tcPr>
            <w:tcW w:w="2263" w:type="dxa"/>
          </w:tcPr>
          <w:p w14:paraId="7107EF43" w14:textId="55362250" w:rsidR="00BF2FFF" w:rsidRPr="00A7551B" w:rsidRDefault="00BF2FFF" w:rsidP="00BF2FFF">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 xml:space="preserve">UE </w:t>
            </w:r>
            <w:r>
              <w:rPr>
                <w:rFonts w:ascii="Calibri" w:hAnsi="Calibri" w:cs="Calibri"/>
                <w:b/>
                <w:bCs/>
                <w:kern w:val="24"/>
                <w:sz w:val="16"/>
                <w:szCs w:val="16"/>
                <w:lang w:val="en-US" w:eastAsia="fi-FI"/>
              </w:rPr>
              <w:t>noise figure (dB)</w:t>
            </w:r>
            <w:r w:rsidRPr="00A7551B">
              <w:rPr>
                <w:rFonts w:ascii="Calibri" w:hAnsi="Calibri" w:cs="Calibri"/>
                <w:b/>
                <w:bCs/>
                <w:kern w:val="24"/>
                <w:sz w:val="16"/>
                <w:szCs w:val="16"/>
                <w:lang w:val="en-US" w:eastAsia="fi-FI"/>
              </w:rPr>
              <w:t xml:space="preserve"> </w:t>
            </w:r>
          </w:p>
        </w:tc>
        <w:tc>
          <w:tcPr>
            <w:tcW w:w="2410" w:type="dxa"/>
          </w:tcPr>
          <w:p w14:paraId="5872DB12" w14:textId="1BD41E73" w:rsidR="00BF2FFF" w:rsidRPr="00A7551B" w:rsidRDefault="00BF2FFF" w:rsidP="00BF2FFF">
            <w:pPr>
              <w:overflowPunct/>
              <w:autoSpaceDE/>
              <w:autoSpaceDN/>
              <w:adjustRightInd/>
              <w:spacing w:after="0"/>
              <w:textAlignment w:val="auto"/>
              <w:rPr>
                <w:rFonts w:ascii="Calibri" w:hAnsi="Calibri" w:cs="Calibri"/>
                <w:kern w:val="24"/>
                <w:sz w:val="16"/>
                <w:szCs w:val="16"/>
                <w:lang w:val="en-US" w:eastAsia="fi-FI"/>
              </w:rPr>
            </w:pPr>
            <w:r>
              <w:rPr>
                <w:rFonts w:ascii="Calibri" w:hAnsi="Calibri" w:cs="Calibri"/>
                <w:kern w:val="24"/>
                <w:sz w:val="16"/>
                <w:szCs w:val="16"/>
                <w:lang w:val="en-US" w:eastAsia="fi-FI"/>
              </w:rPr>
              <w:t>10</w:t>
            </w:r>
          </w:p>
        </w:tc>
        <w:tc>
          <w:tcPr>
            <w:tcW w:w="2319" w:type="dxa"/>
            <w:shd w:val="clear" w:color="auto" w:fill="auto"/>
            <w:tcMar>
              <w:top w:w="15" w:type="dxa"/>
              <w:left w:w="61" w:type="dxa"/>
              <w:bottom w:w="0" w:type="dxa"/>
              <w:right w:w="61" w:type="dxa"/>
            </w:tcMar>
          </w:tcPr>
          <w:p w14:paraId="494B1396" w14:textId="60A2136E" w:rsidR="00BF2FFF" w:rsidRPr="00A7551B" w:rsidRDefault="00BF2FFF" w:rsidP="00BF2FFF">
            <w:pPr>
              <w:overflowPunct/>
              <w:autoSpaceDE/>
              <w:autoSpaceDN/>
              <w:adjustRightInd/>
              <w:spacing w:after="0"/>
              <w:textAlignment w:val="auto"/>
              <w:rPr>
                <w:rFonts w:ascii="Calibri" w:hAnsi="Calibri" w:cs="Calibri"/>
                <w:b/>
                <w:bCs/>
                <w:kern w:val="24"/>
                <w:sz w:val="16"/>
                <w:szCs w:val="16"/>
                <w:lang w:val="en-US" w:eastAsia="fi-FI"/>
              </w:rPr>
            </w:pPr>
            <w:r w:rsidRPr="00A7551B">
              <w:rPr>
                <w:rFonts w:ascii="Calibri" w:hAnsi="Calibri" w:cs="Calibri"/>
                <w:b/>
                <w:bCs/>
                <w:kern w:val="24"/>
                <w:sz w:val="16"/>
                <w:szCs w:val="16"/>
                <w:lang w:val="en-US" w:eastAsia="fi-FI"/>
              </w:rPr>
              <w:t xml:space="preserve">UE </w:t>
            </w:r>
            <w:r>
              <w:rPr>
                <w:rFonts w:ascii="Calibri" w:hAnsi="Calibri" w:cs="Calibri"/>
                <w:b/>
                <w:bCs/>
                <w:kern w:val="24"/>
                <w:sz w:val="16"/>
                <w:szCs w:val="16"/>
                <w:lang w:val="en-US" w:eastAsia="fi-FI"/>
              </w:rPr>
              <w:t>noise figure (dB)</w:t>
            </w:r>
            <w:r w:rsidRPr="00A7551B">
              <w:rPr>
                <w:rFonts w:ascii="Calibri" w:hAnsi="Calibri" w:cs="Calibri"/>
                <w:b/>
                <w:bCs/>
                <w:kern w:val="24"/>
                <w:sz w:val="16"/>
                <w:szCs w:val="16"/>
                <w:lang w:val="en-US" w:eastAsia="fi-FI"/>
              </w:rPr>
              <w:t xml:space="preserve"> configuration </w:t>
            </w:r>
          </w:p>
        </w:tc>
        <w:tc>
          <w:tcPr>
            <w:tcW w:w="2637" w:type="dxa"/>
            <w:shd w:val="clear" w:color="auto" w:fill="auto"/>
            <w:tcMar>
              <w:top w:w="15" w:type="dxa"/>
              <w:left w:w="61" w:type="dxa"/>
              <w:bottom w:w="0" w:type="dxa"/>
              <w:right w:w="61" w:type="dxa"/>
            </w:tcMar>
          </w:tcPr>
          <w:p w14:paraId="603B375C" w14:textId="6D5F97CF" w:rsidR="00BF2FFF" w:rsidRPr="00A7551B" w:rsidRDefault="00BF2FFF" w:rsidP="00BF2FFF">
            <w:pPr>
              <w:overflowPunct/>
              <w:autoSpaceDE/>
              <w:autoSpaceDN/>
              <w:adjustRightInd/>
              <w:spacing w:after="0"/>
              <w:textAlignment w:val="auto"/>
              <w:rPr>
                <w:rFonts w:ascii="Calibri" w:hAnsi="Calibri" w:cs="Calibri"/>
                <w:kern w:val="24"/>
                <w:sz w:val="16"/>
                <w:szCs w:val="16"/>
                <w:lang w:val="en-US" w:eastAsia="fi-FI"/>
              </w:rPr>
            </w:pPr>
            <w:r>
              <w:rPr>
                <w:rFonts w:ascii="Calibri" w:hAnsi="Calibri" w:cs="Calibri"/>
                <w:kern w:val="24"/>
                <w:sz w:val="16"/>
                <w:szCs w:val="16"/>
                <w:lang w:val="en-US" w:eastAsia="fi-FI"/>
              </w:rPr>
              <w:t>10</w:t>
            </w:r>
          </w:p>
        </w:tc>
      </w:tr>
    </w:tbl>
    <w:p w14:paraId="6C45B89A" w14:textId="77777777" w:rsidR="00511C6C" w:rsidRPr="00A7551B" w:rsidRDefault="00511C6C" w:rsidP="00511C6C">
      <w:pPr>
        <w:rPr>
          <w:lang w:val="en-US"/>
        </w:rPr>
      </w:pPr>
    </w:p>
    <w:p w14:paraId="750AF132" w14:textId="7788F678" w:rsidR="0051347A" w:rsidRPr="00A7551B" w:rsidRDefault="0051347A" w:rsidP="00870507">
      <w:pPr>
        <w:rPr>
          <w:lang w:val="en-US"/>
        </w:rPr>
      </w:pPr>
      <w:r w:rsidRPr="00A7551B">
        <w:rPr>
          <w:lang w:val="en-US"/>
        </w:rPr>
        <w:t>It is possible to either share the RF HW between both IAB-DU and IAB-</w:t>
      </w:r>
      <w:proofErr w:type="gramStart"/>
      <w:r w:rsidRPr="00A7551B">
        <w:rPr>
          <w:lang w:val="en-US"/>
        </w:rPr>
        <w:t>MT, or</w:t>
      </w:r>
      <w:proofErr w:type="gramEnd"/>
      <w:r w:rsidRPr="00A7551B">
        <w:rPr>
          <w:lang w:val="en-US"/>
        </w:rPr>
        <w:t xml:space="preserve"> use separate RF HW. In our view the case of using same RF HW is more demanding from co-existence perspective, as it is likely to have higher Tx power </w:t>
      </w:r>
      <w:proofErr w:type="gramStart"/>
      <w:r w:rsidRPr="00A7551B">
        <w:rPr>
          <w:lang w:val="en-US"/>
        </w:rPr>
        <w:t>and also</w:t>
      </w:r>
      <w:proofErr w:type="gramEnd"/>
      <w:r w:rsidRPr="00A7551B">
        <w:rPr>
          <w:lang w:val="en-US"/>
        </w:rPr>
        <w:t xml:space="preserve"> face a direction where more interference is expected. </w:t>
      </w:r>
      <w:proofErr w:type="gramStart"/>
      <w:r w:rsidRPr="00A7551B">
        <w:rPr>
          <w:lang w:val="en-US"/>
        </w:rPr>
        <w:t>Therefore</w:t>
      </w:r>
      <w:proofErr w:type="gramEnd"/>
      <w:r w:rsidRPr="00A7551B">
        <w:rPr>
          <w:lang w:val="en-US"/>
        </w:rPr>
        <w:t xml:space="preserve"> we propose to use the same antenna configuration for IAB-MT, IAB-DU and IAB-Donor.</w:t>
      </w:r>
    </w:p>
    <w:p w14:paraId="68A15B6D" w14:textId="5DC86315" w:rsidR="00870507" w:rsidRDefault="003B17A5" w:rsidP="00870507">
      <w:pPr>
        <w:rPr>
          <w:b/>
          <w:lang w:val="en-US"/>
        </w:rPr>
      </w:pPr>
      <w:r w:rsidRPr="00A7551B">
        <w:rPr>
          <w:b/>
          <w:lang w:val="en-US"/>
        </w:rPr>
        <w:t xml:space="preserve">Proposal </w:t>
      </w:r>
      <w:r w:rsidR="00C3538C">
        <w:rPr>
          <w:b/>
          <w:lang w:val="en-US"/>
        </w:rPr>
        <w:t>9</w:t>
      </w:r>
      <w:r w:rsidRPr="00A7551B">
        <w:rPr>
          <w:b/>
          <w:lang w:val="en-US"/>
        </w:rPr>
        <w:t>: Same antenna configuration is used for IAB-MT, IAB-DU and IAB-Donor</w:t>
      </w:r>
    </w:p>
    <w:p w14:paraId="72FD52CC" w14:textId="7B5E5A96" w:rsidR="00C3538C" w:rsidRDefault="00C3538C" w:rsidP="00870507">
      <w:pPr>
        <w:rPr>
          <w:b/>
          <w:lang w:val="en-US"/>
        </w:rPr>
      </w:pPr>
    </w:p>
    <w:p w14:paraId="013B3473" w14:textId="77777777" w:rsidR="00C3538C" w:rsidRPr="00A7551B" w:rsidRDefault="00C3538C" w:rsidP="00870507">
      <w:pPr>
        <w:rPr>
          <w:b/>
          <w:lang w:val="en-US"/>
        </w:rPr>
      </w:pPr>
    </w:p>
    <w:p w14:paraId="52782008" w14:textId="77777777" w:rsidR="00F32200" w:rsidRPr="00A7551B" w:rsidRDefault="00F32200" w:rsidP="00F32200">
      <w:pPr>
        <w:pStyle w:val="Heading1"/>
        <w:rPr>
          <w:lang w:val="en-US"/>
        </w:rPr>
      </w:pPr>
      <w:r w:rsidRPr="00A7551B">
        <w:rPr>
          <w:lang w:val="en-US"/>
        </w:rPr>
        <w:lastRenderedPageBreak/>
        <w:t>3</w:t>
      </w:r>
      <w:r w:rsidRPr="00A7551B">
        <w:rPr>
          <w:lang w:val="en-US"/>
        </w:rPr>
        <w:tab/>
        <w:t>Conclusion</w:t>
      </w:r>
    </w:p>
    <w:p w14:paraId="12AE3D79" w14:textId="6B8DF544" w:rsidR="00DD43B9" w:rsidRDefault="00E46CA7" w:rsidP="00F8280F">
      <w:pPr>
        <w:rPr>
          <w:b/>
          <w:lang w:val="en-US"/>
        </w:rPr>
      </w:pPr>
      <w:r w:rsidRPr="00BB1D4A">
        <w:rPr>
          <w:lang w:val="en-US"/>
        </w:rPr>
        <w:t xml:space="preserve">In this </w:t>
      </w:r>
      <w:r w:rsidR="00870635" w:rsidRPr="00BB1D4A">
        <w:rPr>
          <w:lang w:val="en-US"/>
        </w:rPr>
        <w:t>contribution</w:t>
      </w:r>
      <w:r w:rsidR="00C3538C" w:rsidRPr="00BB1D4A">
        <w:rPr>
          <w:b/>
          <w:lang w:val="en-US"/>
        </w:rPr>
        <w:t xml:space="preserve"> </w:t>
      </w:r>
      <w:r w:rsidR="00C3538C" w:rsidRPr="00BB1D4A">
        <w:rPr>
          <w:lang w:val="en-US"/>
        </w:rPr>
        <w:t>scenarios and assumptions for the RF co-existence study were discussed.</w:t>
      </w:r>
      <w:r w:rsidR="00C3538C">
        <w:rPr>
          <w:lang w:val="en-US"/>
        </w:rPr>
        <w:t xml:space="preserve"> There are multiple possible scenarios to look at, each with their own pros and cons. Further down selection is likely needed to keep the simulation </w:t>
      </w:r>
      <w:r w:rsidR="00053339">
        <w:rPr>
          <w:lang w:val="en-US"/>
        </w:rPr>
        <w:t>efforts manageable</w:t>
      </w:r>
      <w:r w:rsidR="00C3538C">
        <w:rPr>
          <w:lang w:val="en-US"/>
        </w:rPr>
        <w:t xml:space="preserve">. The following observations and proposals were made. </w:t>
      </w:r>
    </w:p>
    <w:p w14:paraId="54BA4718" w14:textId="77777777" w:rsidR="00C3538C" w:rsidRPr="00A7551B" w:rsidRDefault="00C3538C" w:rsidP="00C3538C">
      <w:pPr>
        <w:rPr>
          <w:b/>
          <w:lang w:val="en-US"/>
        </w:rPr>
      </w:pPr>
      <w:r w:rsidRPr="00A7551B">
        <w:rPr>
          <w:b/>
          <w:lang w:val="en-US"/>
        </w:rPr>
        <w:t xml:space="preserve">Observation </w:t>
      </w:r>
      <w:r>
        <w:rPr>
          <w:b/>
          <w:lang w:val="en-US"/>
        </w:rPr>
        <w:t>1</w:t>
      </w:r>
      <w:r w:rsidRPr="00A7551B">
        <w:rPr>
          <w:b/>
          <w:lang w:val="en-US"/>
        </w:rPr>
        <w:t>:  When the victim and aggressor are both configured with dynamic TDD there is no restriction on the IAB MT.</w:t>
      </w:r>
    </w:p>
    <w:p w14:paraId="1E8BED52" w14:textId="77777777" w:rsidR="00C3538C" w:rsidRPr="00114E9C" w:rsidRDefault="00C3538C" w:rsidP="00C3538C">
      <w:pPr>
        <w:rPr>
          <w:b/>
          <w:lang w:val="en-US"/>
        </w:rPr>
      </w:pPr>
      <w:r w:rsidRPr="00114E9C">
        <w:rPr>
          <w:b/>
          <w:lang w:val="en-US"/>
        </w:rPr>
        <w:t xml:space="preserve">Observation 2: Donor to IAB-Node and parent IAB-node to child IAB-node transmissions are similar. </w:t>
      </w:r>
    </w:p>
    <w:p w14:paraId="0A32AA41" w14:textId="46D3D1C3" w:rsidR="00C3538C" w:rsidRDefault="00C3538C" w:rsidP="00C3538C">
      <w:pPr>
        <w:rPr>
          <w:b/>
          <w:lang w:val="en-US"/>
        </w:rPr>
      </w:pPr>
      <w:r w:rsidRPr="00114E9C">
        <w:rPr>
          <w:b/>
          <w:lang w:val="en-US"/>
        </w:rPr>
        <w:t xml:space="preserve">Observation 3: Child IAB-Node to parent IAB-node and child IAB-node to IAB-Donor transmission are similar. </w:t>
      </w:r>
    </w:p>
    <w:p w14:paraId="2B43880D" w14:textId="60FDF87C" w:rsidR="00C3538C" w:rsidRPr="00A7551B" w:rsidRDefault="00C3538C" w:rsidP="00C3538C">
      <w:pPr>
        <w:rPr>
          <w:b/>
          <w:lang w:val="en-US"/>
        </w:rPr>
      </w:pPr>
      <w:r w:rsidRPr="00A7551B">
        <w:rPr>
          <w:b/>
          <w:lang w:val="en-US"/>
        </w:rPr>
        <w:t xml:space="preserve">Proposal 1: IAB-MT RF coexistence study is based on </w:t>
      </w:r>
      <w:r>
        <w:rPr>
          <w:b/>
          <w:lang w:val="en-US"/>
        </w:rPr>
        <w:t>micro</w:t>
      </w:r>
      <w:r w:rsidRPr="00A7551B">
        <w:rPr>
          <w:b/>
          <w:lang w:val="en-US"/>
        </w:rPr>
        <w:t xml:space="preserve"> deployment scenario</w:t>
      </w:r>
    </w:p>
    <w:p w14:paraId="58C72281" w14:textId="77777777" w:rsidR="00C3538C" w:rsidRDefault="00C3538C" w:rsidP="00C3538C">
      <w:pPr>
        <w:rPr>
          <w:b/>
          <w:lang w:val="en-US"/>
        </w:rPr>
      </w:pPr>
      <w:r w:rsidRPr="00A7551B">
        <w:rPr>
          <w:b/>
          <w:lang w:val="en-US"/>
        </w:rPr>
        <w:t>Proposal 2: Urban macro scenario with coordinated deployment can be considered if IAB-MT transmissions take place during DL slots.</w:t>
      </w:r>
    </w:p>
    <w:p w14:paraId="6A838926" w14:textId="77777777" w:rsidR="00C3538C" w:rsidRPr="00A7551B" w:rsidRDefault="00C3538C" w:rsidP="00C3538C">
      <w:pPr>
        <w:rPr>
          <w:b/>
          <w:lang w:val="en-US"/>
        </w:rPr>
      </w:pPr>
      <w:r>
        <w:rPr>
          <w:b/>
          <w:lang w:val="en-US"/>
        </w:rPr>
        <w:t xml:space="preserve">Proposal 3: </w:t>
      </w:r>
      <w:r w:rsidRPr="00451E75">
        <w:rPr>
          <w:b/>
          <w:lang w:val="en-US"/>
        </w:rPr>
        <w:t>The IAB performance should be assessed against the baseline performance of the victim network with a NR access network acting as the aggressor</w:t>
      </w:r>
    </w:p>
    <w:p w14:paraId="5DB16855" w14:textId="4ADD006A" w:rsidR="00C3538C" w:rsidRDefault="00C3538C" w:rsidP="00C3538C">
      <w:pPr>
        <w:rPr>
          <w:b/>
          <w:lang w:val="en-US"/>
        </w:rPr>
      </w:pPr>
      <w:r w:rsidRPr="00A7551B">
        <w:rPr>
          <w:b/>
          <w:lang w:val="en-US"/>
        </w:rPr>
        <w:t xml:space="preserve">Proposal </w:t>
      </w:r>
      <w:r>
        <w:rPr>
          <w:b/>
          <w:lang w:val="en-US"/>
        </w:rPr>
        <w:t>4</w:t>
      </w:r>
      <w:r w:rsidRPr="00A7551B">
        <w:rPr>
          <w:b/>
          <w:lang w:val="en-US"/>
        </w:rPr>
        <w:t xml:space="preserve">: In a coordinated aggressor system, </w:t>
      </w:r>
      <w:r>
        <w:rPr>
          <w:b/>
          <w:lang w:val="en-US"/>
        </w:rPr>
        <w:t>restrictions on the IAB MT should be investigated</w:t>
      </w:r>
      <w:r w:rsidRPr="00A7551B">
        <w:rPr>
          <w:b/>
          <w:lang w:val="en-US"/>
        </w:rPr>
        <w:t>.</w:t>
      </w:r>
    </w:p>
    <w:p w14:paraId="296D4EB4" w14:textId="77777777" w:rsidR="00C3538C" w:rsidRPr="00114E9C" w:rsidRDefault="00C3538C" w:rsidP="00C3538C">
      <w:pPr>
        <w:rPr>
          <w:b/>
          <w:lang w:val="en-US"/>
        </w:rPr>
      </w:pPr>
      <w:r w:rsidRPr="00114E9C">
        <w:rPr>
          <w:b/>
          <w:lang w:val="en-US"/>
        </w:rPr>
        <w:t xml:space="preserve">Proposal 5: IAB-MT is </w:t>
      </w:r>
      <w:proofErr w:type="gramStart"/>
      <w:r w:rsidRPr="00114E9C">
        <w:rPr>
          <w:b/>
          <w:lang w:val="en-US"/>
        </w:rPr>
        <w:t>transmits</w:t>
      </w:r>
      <w:proofErr w:type="gramEnd"/>
      <w:r w:rsidRPr="00114E9C">
        <w:rPr>
          <w:b/>
          <w:lang w:val="en-US"/>
        </w:rPr>
        <w:t xml:space="preserve"> with a probability of 15%.</w:t>
      </w:r>
    </w:p>
    <w:p w14:paraId="61711945" w14:textId="77777777" w:rsidR="00C3538C" w:rsidRPr="00A7551B" w:rsidRDefault="00C3538C" w:rsidP="00C3538C">
      <w:pPr>
        <w:rPr>
          <w:b/>
          <w:lang w:val="en-US"/>
        </w:rPr>
      </w:pPr>
      <w:r w:rsidRPr="00114E9C">
        <w:rPr>
          <w:b/>
          <w:lang w:val="en-US"/>
        </w:rPr>
        <w:t xml:space="preserve">Proposal 6: </w:t>
      </w:r>
      <w:proofErr w:type="spellStart"/>
      <w:r w:rsidRPr="00114E9C">
        <w:rPr>
          <w:b/>
          <w:lang w:val="en-US"/>
        </w:rPr>
        <w:t>Bursty</w:t>
      </w:r>
      <w:proofErr w:type="spellEnd"/>
      <w:r w:rsidRPr="00114E9C">
        <w:rPr>
          <w:b/>
          <w:lang w:val="en-US"/>
        </w:rPr>
        <w:t xml:space="preserve"> traffic model is used for IAB-MT transmissions.</w:t>
      </w:r>
    </w:p>
    <w:p w14:paraId="26BB6691" w14:textId="77777777" w:rsidR="00C3538C" w:rsidRPr="0012676D" w:rsidRDefault="00C3538C" w:rsidP="00C3538C">
      <w:pPr>
        <w:rPr>
          <w:b/>
          <w:lang w:val="en-US"/>
        </w:rPr>
      </w:pPr>
      <w:r w:rsidRPr="00114E9C">
        <w:rPr>
          <w:b/>
          <w:lang w:val="en-US"/>
        </w:rPr>
        <w:t xml:space="preserve">Proposal 7: No multi-hop scenario needs to be simulated, </w:t>
      </w:r>
      <w:proofErr w:type="gramStart"/>
      <w:r w:rsidRPr="00114E9C">
        <w:rPr>
          <w:b/>
          <w:lang w:val="en-US"/>
        </w:rPr>
        <w:t>as long as</w:t>
      </w:r>
      <w:proofErr w:type="gramEnd"/>
      <w:r w:rsidRPr="00114E9C">
        <w:rPr>
          <w:b/>
          <w:lang w:val="en-US"/>
        </w:rPr>
        <w:t xml:space="preserve"> IAB-donor and IAB-DU parameters are sufficiently similar.</w:t>
      </w:r>
    </w:p>
    <w:p w14:paraId="61A8DCFB" w14:textId="762A6D8E" w:rsidR="00C3538C" w:rsidRDefault="00C3538C" w:rsidP="00C3538C">
      <w:pPr>
        <w:rPr>
          <w:b/>
          <w:lang w:val="en-US"/>
        </w:rPr>
      </w:pPr>
      <w:r w:rsidRPr="00114E9C">
        <w:rPr>
          <w:b/>
          <w:lang w:val="en-US"/>
        </w:rPr>
        <w:t>Proposal 8: Consider parameters in Table 2 to be used in RF co-existence study</w:t>
      </w:r>
    </w:p>
    <w:p w14:paraId="5654EBA6" w14:textId="4722F9FC" w:rsidR="00C3538C" w:rsidRPr="00A7551B" w:rsidRDefault="00C3538C" w:rsidP="00F8280F">
      <w:pPr>
        <w:rPr>
          <w:b/>
          <w:lang w:val="en-US"/>
        </w:rPr>
      </w:pPr>
      <w:r w:rsidRPr="00A7551B">
        <w:rPr>
          <w:b/>
          <w:lang w:val="en-US"/>
        </w:rPr>
        <w:t xml:space="preserve">Proposal </w:t>
      </w:r>
      <w:r>
        <w:rPr>
          <w:b/>
          <w:lang w:val="en-US"/>
        </w:rPr>
        <w:t>9</w:t>
      </w:r>
      <w:r w:rsidRPr="00A7551B">
        <w:rPr>
          <w:b/>
          <w:lang w:val="en-US"/>
        </w:rPr>
        <w:t>: Same antenna configuration is used for IAB-MT, IAB-DU and IAB-Donor</w:t>
      </w:r>
    </w:p>
    <w:p w14:paraId="55B204E9" w14:textId="77777777" w:rsidR="0057669F" w:rsidRPr="00A7551B" w:rsidRDefault="0057669F" w:rsidP="0057669F">
      <w:pPr>
        <w:pStyle w:val="Heading1"/>
        <w:rPr>
          <w:lang w:val="en-US"/>
        </w:rPr>
      </w:pPr>
      <w:r w:rsidRPr="00A7551B">
        <w:rPr>
          <w:lang w:val="en-US"/>
        </w:rPr>
        <w:t>4</w:t>
      </w:r>
      <w:r w:rsidRPr="00A7551B">
        <w:rPr>
          <w:lang w:val="en-US"/>
        </w:rPr>
        <w:tab/>
        <w:t>Reference</w:t>
      </w:r>
      <w:r w:rsidR="0035582C" w:rsidRPr="00A7551B">
        <w:rPr>
          <w:lang w:val="en-US"/>
        </w:rPr>
        <w:t>s</w:t>
      </w:r>
    </w:p>
    <w:p w14:paraId="43EA2530" w14:textId="11B151E4" w:rsidR="0089736D" w:rsidRPr="00384AB3" w:rsidRDefault="0035582C" w:rsidP="000D5C67">
      <w:pPr>
        <w:ind w:left="567" w:hanging="567"/>
        <w:rPr>
          <w:lang w:val="en-US"/>
        </w:rPr>
      </w:pPr>
      <w:r w:rsidRPr="00384AB3">
        <w:rPr>
          <w:lang w:val="en-US" w:eastAsia="ja-JP"/>
        </w:rPr>
        <w:t>[1]</w:t>
      </w:r>
      <w:r w:rsidRPr="00384AB3">
        <w:rPr>
          <w:lang w:val="en-US" w:eastAsia="ja-JP"/>
        </w:rPr>
        <w:tab/>
      </w:r>
      <w:r w:rsidR="000D5C67" w:rsidRPr="00384AB3">
        <w:rPr>
          <w:lang w:val="en-US" w:eastAsia="ja-JP"/>
        </w:rPr>
        <w:t>RP-1</w:t>
      </w:r>
      <w:r w:rsidR="008E0263" w:rsidRPr="00384AB3">
        <w:rPr>
          <w:lang w:val="en-US" w:eastAsia="ja-JP"/>
        </w:rPr>
        <w:t>8</w:t>
      </w:r>
      <w:r w:rsidR="000D5C67" w:rsidRPr="00384AB3">
        <w:rPr>
          <w:lang w:val="en-US" w:eastAsia="ja-JP"/>
        </w:rPr>
        <w:t>2882 New WID: Integrated Access and Backhaul for NR, Qualcomm</w:t>
      </w:r>
    </w:p>
    <w:p w14:paraId="3AAE88AA" w14:textId="77777777" w:rsidR="00DD43B9" w:rsidRPr="00384AB3" w:rsidRDefault="00DD43B9" w:rsidP="00DD43B9">
      <w:pPr>
        <w:ind w:left="567" w:hanging="567"/>
        <w:rPr>
          <w:lang w:val="en-US"/>
        </w:rPr>
      </w:pPr>
      <w:r w:rsidRPr="00384AB3">
        <w:rPr>
          <w:lang w:val="en-US"/>
        </w:rPr>
        <w:t>[2]</w:t>
      </w:r>
      <w:r w:rsidRPr="00384AB3">
        <w:rPr>
          <w:lang w:val="en-US"/>
        </w:rPr>
        <w:tab/>
        <w:t>RP-190712 Revised WID: Integrated Access and Backhaul for NR, Qualcomm</w:t>
      </w:r>
    </w:p>
    <w:p w14:paraId="1C48C625" w14:textId="44D05EF8" w:rsidR="00526D53" w:rsidRPr="00384AB3" w:rsidRDefault="007C0429" w:rsidP="00526D53">
      <w:pPr>
        <w:ind w:left="567" w:hanging="567"/>
        <w:rPr>
          <w:lang w:val="en-US"/>
        </w:rPr>
      </w:pPr>
      <w:r w:rsidRPr="00384AB3">
        <w:rPr>
          <w:lang w:val="en-US"/>
        </w:rPr>
        <w:t>[3]</w:t>
      </w:r>
      <w:r w:rsidRPr="00384AB3">
        <w:rPr>
          <w:lang w:val="en-US"/>
        </w:rPr>
        <w:tab/>
      </w:r>
      <w:r w:rsidR="008E0263" w:rsidRPr="00384AB3">
        <w:rPr>
          <w:lang w:val="en-US"/>
        </w:rPr>
        <w:t>R4-1905105, Summary of IAB operating scenarios</w:t>
      </w:r>
      <w:r w:rsidR="008B78CD">
        <w:rPr>
          <w:lang w:val="en-US"/>
        </w:rPr>
        <w:t>,</w:t>
      </w:r>
      <w:r w:rsidR="008B78CD" w:rsidRPr="00384AB3">
        <w:rPr>
          <w:lang w:val="en-US"/>
        </w:rPr>
        <w:t xml:space="preserve"> </w:t>
      </w:r>
      <w:r w:rsidR="008E0263" w:rsidRPr="00384AB3">
        <w:rPr>
          <w:lang w:val="en-US"/>
        </w:rPr>
        <w:t>Ericsson</w:t>
      </w:r>
    </w:p>
    <w:p w14:paraId="517A4A79" w14:textId="77777777" w:rsidR="00D33A6E" w:rsidRPr="00384AB3" w:rsidRDefault="006C1221" w:rsidP="00D33A6E">
      <w:pPr>
        <w:ind w:left="567" w:hanging="567"/>
        <w:rPr>
          <w:lang w:val="en-US"/>
        </w:rPr>
      </w:pPr>
      <w:r w:rsidRPr="00384AB3">
        <w:rPr>
          <w:lang w:val="en-US"/>
        </w:rPr>
        <w:t>[4]</w:t>
      </w:r>
      <w:r w:rsidRPr="00384AB3">
        <w:rPr>
          <w:lang w:val="en-US"/>
        </w:rPr>
        <w:tab/>
        <w:t>3GPP TR 38.803</w:t>
      </w:r>
      <w:r w:rsidR="00E80824" w:rsidRPr="00384AB3">
        <w:rPr>
          <w:lang w:val="en-US"/>
        </w:rPr>
        <w:t>, Study on new radio access technology, Radio Frequency (RF) and co-existence aspects</w:t>
      </w:r>
    </w:p>
    <w:p w14:paraId="5B87D3E7" w14:textId="102E5271" w:rsidR="00D33A6E" w:rsidRDefault="00D33A6E" w:rsidP="00D33A6E">
      <w:pPr>
        <w:ind w:left="567" w:hanging="567"/>
        <w:rPr>
          <w:lang w:val="en-US"/>
        </w:rPr>
      </w:pPr>
      <w:r w:rsidRPr="00384AB3">
        <w:rPr>
          <w:lang w:val="en-US"/>
        </w:rPr>
        <w:t>[</w:t>
      </w:r>
      <w:r w:rsidR="008B78CD">
        <w:rPr>
          <w:lang w:val="en-US"/>
        </w:rPr>
        <w:t>5</w:t>
      </w:r>
      <w:r w:rsidRPr="00384AB3">
        <w:rPr>
          <w:lang w:val="en-US"/>
        </w:rPr>
        <w:t>]</w:t>
      </w:r>
      <w:r w:rsidRPr="00384AB3">
        <w:rPr>
          <w:lang w:val="en-US"/>
        </w:rPr>
        <w:tab/>
        <w:t>3GPP TR 38.</w:t>
      </w:r>
      <w:r>
        <w:rPr>
          <w:lang w:val="en-US"/>
        </w:rPr>
        <w:t>874</w:t>
      </w:r>
      <w:r w:rsidRPr="00384AB3">
        <w:rPr>
          <w:lang w:val="en-US"/>
        </w:rPr>
        <w:t xml:space="preserve">, </w:t>
      </w:r>
      <w:r w:rsidRPr="00D33A6E">
        <w:rPr>
          <w:lang w:val="en-US"/>
        </w:rPr>
        <w:t>Study on Integrated Access and Backhaul</w:t>
      </w:r>
    </w:p>
    <w:p w14:paraId="5C1D857A" w14:textId="11DF41AD" w:rsidR="008B78CD" w:rsidRDefault="008B78CD" w:rsidP="00D33A6E">
      <w:pPr>
        <w:ind w:left="567" w:hanging="567"/>
        <w:rPr>
          <w:lang w:val="en-US"/>
        </w:rPr>
      </w:pPr>
      <w:r>
        <w:rPr>
          <w:lang w:val="en-US"/>
        </w:rPr>
        <w:t>[6]</w:t>
      </w:r>
      <w:r>
        <w:rPr>
          <w:lang w:val="en-US"/>
        </w:rPr>
        <w:tab/>
      </w:r>
      <w:r w:rsidRPr="00384AB3">
        <w:rPr>
          <w:lang w:val="en-US"/>
        </w:rPr>
        <w:t>R4-190510</w:t>
      </w:r>
      <w:r>
        <w:rPr>
          <w:lang w:val="en-US"/>
        </w:rPr>
        <w:t>6</w:t>
      </w:r>
      <w:r w:rsidRPr="00384AB3">
        <w:rPr>
          <w:lang w:val="en-US"/>
        </w:rPr>
        <w:t xml:space="preserve">, </w:t>
      </w:r>
      <w:r w:rsidRPr="008B78CD">
        <w:rPr>
          <w:lang w:val="en-US"/>
        </w:rPr>
        <w:t>Simulator scenarios and assumptions for simulator alignment purpose</w:t>
      </w:r>
      <w:r>
        <w:rPr>
          <w:lang w:val="en-US"/>
        </w:rPr>
        <w:t>,</w:t>
      </w:r>
      <w:r w:rsidRPr="00384AB3">
        <w:rPr>
          <w:lang w:val="en-US"/>
        </w:rPr>
        <w:t xml:space="preserve"> </w:t>
      </w:r>
      <w:r>
        <w:rPr>
          <w:lang w:val="en-US"/>
        </w:rPr>
        <w:t>Qualcomm</w:t>
      </w:r>
    </w:p>
    <w:p w14:paraId="3FF00238" w14:textId="1E8BD898" w:rsidR="006750A5" w:rsidRDefault="006750A5" w:rsidP="000450CB">
      <w:pPr>
        <w:ind w:left="567" w:hanging="567"/>
        <w:rPr>
          <w:lang w:val="en-US"/>
        </w:rPr>
      </w:pPr>
    </w:p>
    <w:p w14:paraId="7600EEF2" w14:textId="77777777" w:rsidR="00D33A6E" w:rsidRPr="00384AB3" w:rsidRDefault="00D33A6E" w:rsidP="000450CB">
      <w:pPr>
        <w:ind w:left="567" w:hanging="567"/>
        <w:rPr>
          <w:lang w:val="en-US"/>
        </w:rPr>
      </w:pPr>
    </w:p>
    <w:sectPr w:rsidR="00D33A6E" w:rsidRPr="00384AB3" w:rsidSect="00F3220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FF5FD" w14:textId="77777777" w:rsidR="001426D2" w:rsidRDefault="001426D2" w:rsidP="002B3503">
      <w:pPr>
        <w:spacing w:after="0"/>
      </w:pPr>
      <w:r>
        <w:separator/>
      </w:r>
    </w:p>
  </w:endnote>
  <w:endnote w:type="continuationSeparator" w:id="0">
    <w:p w14:paraId="420E99B4" w14:textId="77777777" w:rsidR="001426D2" w:rsidRDefault="001426D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0944A" w14:textId="77777777" w:rsidR="001426D2" w:rsidRDefault="001426D2" w:rsidP="002B3503">
      <w:pPr>
        <w:spacing w:after="0"/>
      </w:pPr>
      <w:r>
        <w:separator/>
      </w:r>
    </w:p>
  </w:footnote>
  <w:footnote w:type="continuationSeparator" w:id="0">
    <w:p w14:paraId="1B0AC592" w14:textId="77777777" w:rsidR="001426D2" w:rsidRDefault="001426D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914319E"/>
    <w:multiLevelType w:val="hybridMultilevel"/>
    <w:tmpl w:val="F5D0D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1E4079"/>
    <w:multiLevelType w:val="hybridMultilevel"/>
    <w:tmpl w:val="B7909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37790E"/>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6E8B"/>
    <w:multiLevelType w:val="hybridMultilevel"/>
    <w:tmpl w:val="491E53CE"/>
    <w:lvl w:ilvl="0" w:tplc="040B000F">
      <w:start w:val="1"/>
      <w:numFmt w:val="decimal"/>
      <w:lvlText w:val="%1."/>
      <w:lvlJc w:val="left"/>
      <w:pPr>
        <w:ind w:left="644" w:hanging="360"/>
      </w:p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4"/>
  </w:num>
  <w:num w:numId="3">
    <w:abstractNumId w:val="6"/>
  </w:num>
  <w:num w:numId="4">
    <w:abstractNumId w:val="10"/>
  </w:num>
  <w:num w:numId="5">
    <w:abstractNumId w:val="11"/>
  </w:num>
  <w:num w:numId="6">
    <w:abstractNumId w:val="12"/>
  </w:num>
  <w:num w:numId="7">
    <w:abstractNumId w:val="5"/>
  </w:num>
  <w:num w:numId="8">
    <w:abstractNumId w:val="2"/>
  </w:num>
  <w:num w:numId="9">
    <w:abstractNumId w:val="0"/>
  </w:num>
  <w:num w:numId="10">
    <w:abstractNumId w:val="7"/>
  </w:num>
  <w:num w:numId="11">
    <w:abstractNumId w:val="15"/>
  </w:num>
  <w:num w:numId="12">
    <w:abstractNumId w:val="1"/>
  </w:num>
  <w:num w:numId="13">
    <w:abstractNumId w:val="13"/>
  </w:num>
  <w:num w:numId="14">
    <w:abstractNumId w:val="9"/>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2870"/>
    <w:rsid w:val="0000488B"/>
    <w:rsid w:val="00013683"/>
    <w:rsid w:val="000138E1"/>
    <w:rsid w:val="000146D1"/>
    <w:rsid w:val="00017F18"/>
    <w:rsid w:val="000450CB"/>
    <w:rsid w:val="00046F81"/>
    <w:rsid w:val="00053339"/>
    <w:rsid w:val="000832DA"/>
    <w:rsid w:val="00091F0B"/>
    <w:rsid w:val="000943A9"/>
    <w:rsid w:val="000A4A61"/>
    <w:rsid w:val="000A5C0F"/>
    <w:rsid w:val="000A6473"/>
    <w:rsid w:val="000A7F46"/>
    <w:rsid w:val="000B0746"/>
    <w:rsid w:val="000B4E56"/>
    <w:rsid w:val="000B5E8E"/>
    <w:rsid w:val="000C07E1"/>
    <w:rsid w:val="000D0627"/>
    <w:rsid w:val="000D5C67"/>
    <w:rsid w:val="000D6C3A"/>
    <w:rsid w:val="000E0F9C"/>
    <w:rsid w:val="000E41E5"/>
    <w:rsid w:val="000F2546"/>
    <w:rsid w:val="00101626"/>
    <w:rsid w:val="00101848"/>
    <w:rsid w:val="00113312"/>
    <w:rsid w:val="0012676D"/>
    <w:rsid w:val="00133C72"/>
    <w:rsid w:val="001364A1"/>
    <w:rsid w:val="001426D2"/>
    <w:rsid w:val="0015000E"/>
    <w:rsid w:val="0016131F"/>
    <w:rsid w:val="00164A53"/>
    <w:rsid w:val="001B180D"/>
    <w:rsid w:val="001B494A"/>
    <w:rsid w:val="001C3296"/>
    <w:rsid w:val="001D4627"/>
    <w:rsid w:val="00210C9E"/>
    <w:rsid w:val="002127E2"/>
    <w:rsid w:val="00214C87"/>
    <w:rsid w:val="00215035"/>
    <w:rsid w:val="00237779"/>
    <w:rsid w:val="00237803"/>
    <w:rsid w:val="002640C9"/>
    <w:rsid w:val="00277EE7"/>
    <w:rsid w:val="002848E1"/>
    <w:rsid w:val="00285189"/>
    <w:rsid w:val="00285EBA"/>
    <w:rsid w:val="00286008"/>
    <w:rsid w:val="00291DDD"/>
    <w:rsid w:val="002A7181"/>
    <w:rsid w:val="002B3503"/>
    <w:rsid w:val="002B3F6F"/>
    <w:rsid w:val="002C1641"/>
    <w:rsid w:val="002C1C70"/>
    <w:rsid w:val="002F0018"/>
    <w:rsid w:val="002F139F"/>
    <w:rsid w:val="002F6A38"/>
    <w:rsid w:val="00311EFD"/>
    <w:rsid w:val="00327382"/>
    <w:rsid w:val="00347DEA"/>
    <w:rsid w:val="0035582C"/>
    <w:rsid w:val="003613B8"/>
    <w:rsid w:val="00363074"/>
    <w:rsid w:val="003727BD"/>
    <w:rsid w:val="003777FE"/>
    <w:rsid w:val="00384AB3"/>
    <w:rsid w:val="003879A9"/>
    <w:rsid w:val="003A1BF2"/>
    <w:rsid w:val="003B17A5"/>
    <w:rsid w:val="003C3016"/>
    <w:rsid w:val="003D0F52"/>
    <w:rsid w:val="003D3111"/>
    <w:rsid w:val="003D5813"/>
    <w:rsid w:val="003F0CBC"/>
    <w:rsid w:val="003F1982"/>
    <w:rsid w:val="004035FC"/>
    <w:rsid w:val="00404C40"/>
    <w:rsid w:val="0042109F"/>
    <w:rsid w:val="00427F57"/>
    <w:rsid w:val="0043069D"/>
    <w:rsid w:val="0043226B"/>
    <w:rsid w:val="0043450E"/>
    <w:rsid w:val="00451E75"/>
    <w:rsid w:val="00453BA5"/>
    <w:rsid w:val="00454E53"/>
    <w:rsid w:val="00472CF2"/>
    <w:rsid w:val="004754A1"/>
    <w:rsid w:val="00475BAD"/>
    <w:rsid w:val="00482477"/>
    <w:rsid w:val="00482BAF"/>
    <w:rsid w:val="00484762"/>
    <w:rsid w:val="00491386"/>
    <w:rsid w:val="00491804"/>
    <w:rsid w:val="0049281B"/>
    <w:rsid w:val="00494F18"/>
    <w:rsid w:val="004964CB"/>
    <w:rsid w:val="004A41DA"/>
    <w:rsid w:val="004A47DD"/>
    <w:rsid w:val="004C0103"/>
    <w:rsid w:val="004C4473"/>
    <w:rsid w:val="004C58F9"/>
    <w:rsid w:val="004D0C67"/>
    <w:rsid w:val="004D1AF7"/>
    <w:rsid w:val="004D3D81"/>
    <w:rsid w:val="004D4354"/>
    <w:rsid w:val="00507108"/>
    <w:rsid w:val="00511C6C"/>
    <w:rsid w:val="00512C65"/>
    <w:rsid w:val="0051347A"/>
    <w:rsid w:val="0051792D"/>
    <w:rsid w:val="00526D53"/>
    <w:rsid w:val="005304C6"/>
    <w:rsid w:val="00542EA4"/>
    <w:rsid w:val="00544A0E"/>
    <w:rsid w:val="005472C5"/>
    <w:rsid w:val="00551BD8"/>
    <w:rsid w:val="00560A63"/>
    <w:rsid w:val="00564B2E"/>
    <w:rsid w:val="00570B14"/>
    <w:rsid w:val="0057669F"/>
    <w:rsid w:val="00582FA5"/>
    <w:rsid w:val="005A3D67"/>
    <w:rsid w:val="005B2640"/>
    <w:rsid w:val="005C3C47"/>
    <w:rsid w:val="005D7B06"/>
    <w:rsid w:val="005E49A2"/>
    <w:rsid w:val="005F1F1C"/>
    <w:rsid w:val="005F6CE3"/>
    <w:rsid w:val="00602EB6"/>
    <w:rsid w:val="0060382B"/>
    <w:rsid w:val="006158E7"/>
    <w:rsid w:val="006168C2"/>
    <w:rsid w:val="006241ED"/>
    <w:rsid w:val="00641C2E"/>
    <w:rsid w:val="00644080"/>
    <w:rsid w:val="00654B03"/>
    <w:rsid w:val="00663E30"/>
    <w:rsid w:val="00666120"/>
    <w:rsid w:val="00673969"/>
    <w:rsid w:val="006750A5"/>
    <w:rsid w:val="006824A6"/>
    <w:rsid w:val="00692D32"/>
    <w:rsid w:val="006A21E1"/>
    <w:rsid w:val="006A6876"/>
    <w:rsid w:val="006B720B"/>
    <w:rsid w:val="006C1221"/>
    <w:rsid w:val="006C6840"/>
    <w:rsid w:val="006C7482"/>
    <w:rsid w:val="006E3462"/>
    <w:rsid w:val="006E7C05"/>
    <w:rsid w:val="006F1B82"/>
    <w:rsid w:val="006F651D"/>
    <w:rsid w:val="00701131"/>
    <w:rsid w:val="0070248C"/>
    <w:rsid w:val="00710301"/>
    <w:rsid w:val="007120DD"/>
    <w:rsid w:val="00721417"/>
    <w:rsid w:val="00726265"/>
    <w:rsid w:val="00734EBD"/>
    <w:rsid w:val="00751D29"/>
    <w:rsid w:val="00753982"/>
    <w:rsid w:val="00763E62"/>
    <w:rsid w:val="00773EB9"/>
    <w:rsid w:val="00782875"/>
    <w:rsid w:val="007A12F4"/>
    <w:rsid w:val="007A23DA"/>
    <w:rsid w:val="007B0C56"/>
    <w:rsid w:val="007C0429"/>
    <w:rsid w:val="007D20DF"/>
    <w:rsid w:val="007E72A4"/>
    <w:rsid w:val="007E79BE"/>
    <w:rsid w:val="00815457"/>
    <w:rsid w:val="008236E4"/>
    <w:rsid w:val="0084176E"/>
    <w:rsid w:val="00845E2E"/>
    <w:rsid w:val="00850296"/>
    <w:rsid w:val="00853EC3"/>
    <w:rsid w:val="008674EE"/>
    <w:rsid w:val="00870507"/>
    <w:rsid w:val="00870635"/>
    <w:rsid w:val="00874B67"/>
    <w:rsid w:val="00874DB0"/>
    <w:rsid w:val="008771F4"/>
    <w:rsid w:val="008922F9"/>
    <w:rsid w:val="0089736D"/>
    <w:rsid w:val="008A1FBF"/>
    <w:rsid w:val="008A4493"/>
    <w:rsid w:val="008B13EE"/>
    <w:rsid w:val="008B5F74"/>
    <w:rsid w:val="008B78CD"/>
    <w:rsid w:val="008D39F0"/>
    <w:rsid w:val="008D6E47"/>
    <w:rsid w:val="008E0263"/>
    <w:rsid w:val="008F311C"/>
    <w:rsid w:val="008F463D"/>
    <w:rsid w:val="00903DE7"/>
    <w:rsid w:val="009050E8"/>
    <w:rsid w:val="00906259"/>
    <w:rsid w:val="0091383D"/>
    <w:rsid w:val="00917BF3"/>
    <w:rsid w:val="00932D74"/>
    <w:rsid w:val="009351C4"/>
    <w:rsid w:val="00937974"/>
    <w:rsid w:val="00940559"/>
    <w:rsid w:val="00943634"/>
    <w:rsid w:val="0096038C"/>
    <w:rsid w:val="009674D4"/>
    <w:rsid w:val="00972169"/>
    <w:rsid w:val="00982464"/>
    <w:rsid w:val="00996062"/>
    <w:rsid w:val="009A3979"/>
    <w:rsid w:val="009A6A8B"/>
    <w:rsid w:val="009A70AA"/>
    <w:rsid w:val="009B1E68"/>
    <w:rsid w:val="009B7379"/>
    <w:rsid w:val="00A067D5"/>
    <w:rsid w:val="00A10A2C"/>
    <w:rsid w:val="00A15FBF"/>
    <w:rsid w:val="00A451E8"/>
    <w:rsid w:val="00A466BF"/>
    <w:rsid w:val="00A47C8B"/>
    <w:rsid w:val="00A6018C"/>
    <w:rsid w:val="00A64564"/>
    <w:rsid w:val="00A708BD"/>
    <w:rsid w:val="00A7551B"/>
    <w:rsid w:val="00A76750"/>
    <w:rsid w:val="00A8390A"/>
    <w:rsid w:val="00A94141"/>
    <w:rsid w:val="00A97C2D"/>
    <w:rsid w:val="00AA2180"/>
    <w:rsid w:val="00AB07DD"/>
    <w:rsid w:val="00AB5402"/>
    <w:rsid w:val="00AD3165"/>
    <w:rsid w:val="00AD5F26"/>
    <w:rsid w:val="00AD71AD"/>
    <w:rsid w:val="00AE6327"/>
    <w:rsid w:val="00AF14A0"/>
    <w:rsid w:val="00B1541B"/>
    <w:rsid w:val="00B346B4"/>
    <w:rsid w:val="00B4385F"/>
    <w:rsid w:val="00B6504C"/>
    <w:rsid w:val="00B65B59"/>
    <w:rsid w:val="00B83866"/>
    <w:rsid w:val="00BA7070"/>
    <w:rsid w:val="00BB1D4A"/>
    <w:rsid w:val="00BC25A7"/>
    <w:rsid w:val="00BC53DF"/>
    <w:rsid w:val="00BC5A80"/>
    <w:rsid w:val="00BC764C"/>
    <w:rsid w:val="00BD0FF7"/>
    <w:rsid w:val="00BE140C"/>
    <w:rsid w:val="00BE5FB6"/>
    <w:rsid w:val="00BF2FFF"/>
    <w:rsid w:val="00BF4B17"/>
    <w:rsid w:val="00C21554"/>
    <w:rsid w:val="00C24C90"/>
    <w:rsid w:val="00C24D31"/>
    <w:rsid w:val="00C33434"/>
    <w:rsid w:val="00C3538C"/>
    <w:rsid w:val="00C944DE"/>
    <w:rsid w:val="00CA5455"/>
    <w:rsid w:val="00CC64E3"/>
    <w:rsid w:val="00CD6598"/>
    <w:rsid w:val="00CF249F"/>
    <w:rsid w:val="00D26459"/>
    <w:rsid w:val="00D275CC"/>
    <w:rsid w:val="00D33A6E"/>
    <w:rsid w:val="00D355D3"/>
    <w:rsid w:val="00D54EAA"/>
    <w:rsid w:val="00D5669A"/>
    <w:rsid w:val="00D567B1"/>
    <w:rsid w:val="00D72582"/>
    <w:rsid w:val="00D767C4"/>
    <w:rsid w:val="00D77CF5"/>
    <w:rsid w:val="00D848CC"/>
    <w:rsid w:val="00D86BF8"/>
    <w:rsid w:val="00D944B1"/>
    <w:rsid w:val="00D95179"/>
    <w:rsid w:val="00DA31B7"/>
    <w:rsid w:val="00DB3EC2"/>
    <w:rsid w:val="00DB5AD3"/>
    <w:rsid w:val="00DB78B8"/>
    <w:rsid w:val="00DC7584"/>
    <w:rsid w:val="00DD43B9"/>
    <w:rsid w:val="00DF018A"/>
    <w:rsid w:val="00DF0C0A"/>
    <w:rsid w:val="00DF6160"/>
    <w:rsid w:val="00E00F64"/>
    <w:rsid w:val="00E10ADF"/>
    <w:rsid w:val="00E13DFA"/>
    <w:rsid w:val="00E3148E"/>
    <w:rsid w:val="00E33B68"/>
    <w:rsid w:val="00E46CA7"/>
    <w:rsid w:val="00E80824"/>
    <w:rsid w:val="00E90BCB"/>
    <w:rsid w:val="00E962C5"/>
    <w:rsid w:val="00EA3488"/>
    <w:rsid w:val="00EA3629"/>
    <w:rsid w:val="00EB5F7D"/>
    <w:rsid w:val="00EC589F"/>
    <w:rsid w:val="00EF103D"/>
    <w:rsid w:val="00EF1A4F"/>
    <w:rsid w:val="00EF5428"/>
    <w:rsid w:val="00EF6304"/>
    <w:rsid w:val="00F03666"/>
    <w:rsid w:val="00F32200"/>
    <w:rsid w:val="00F35EFA"/>
    <w:rsid w:val="00F40AF9"/>
    <w:rsid w:val="00F51367"/>
    <w:rsid w:val="00F65437"/>
    <w:rsid w:val="00F67501"/>
    <w:rsid w:val="00F8280F"/>
    <w:rsid w:val="00F832DE"/>
    <w:rsid w:val="00F95D75"/>
    <w:rsid w:val="00F96BF4"/>
    <w:rsid w:val="00F974FD"/>
    <w:rsid w:val="00F97D64"/>
    <w:rsid w:val="00FA111D"/>
    <w:rsid w:val="00FA2A7B"/>
    <w:rsid w:val="00FA66CB"/>
    <w:rsid w:val="00FB7D23"/>
    <w:rsid w:val="00FC32C0"/>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paragraph" w:styleId="Revision">
    <w:name w:val="Revision"/>
    <w:hidden/>
    <w:uiPriority w:val="99"/>
    <w:semiHidden/>
    <w:rsid w:val="00475BAD"/>
    <w:rPr>
      <w:rFonts w:ascii="Times New Roman" w:hAnsi="Times New Roman"/>
      <w:lang w:val="en-GB" w:eastAsia="en-US"/>
    </w:rPr>
  </w:style>
  <w:style w:type="table" w:styleId="GridTable1Light">
    <w:name w:val="Grid Table 1 Light"/>
    <w:basedOn w:val="TableNormal"/>
    <w:uiPriority w:val="46"/>
    <w:rsid w:val="008B78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3951340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817305827">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41253">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E90A8-04AB-484C-A100-92A02B312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1499</Words>
  <Characters>12148</Characters>
  <Application>Microsoft Office Word</Application>
  <DocSecurity>0</DocSecurity>
  <Lines>101</Lines>
  <Paragraphs>27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3</cp:revision>
  <cp:lastPrinted>1900-01-01T06:00:00Z</cp:lastPrinted>
  <dcterms:created xsi:type="dcterms:W3CDTF">2019-05-03T17:01:00Z</dcterms:created>
  <dcterms:modified xsi:type="dcterms:W3CDTF">2019-05-03T17:56:00Z</dcterms:modified>
</cp:coreProperties>
</file>